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4C2" w14:textId="77777777" w:rsidR="00015624" w:rsidRPr="008C360B" w:rsidRDefault="00015624" w:rsidP="002A1B9E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C360B">
        <w:rPr>
          <w:rFonts w:asciiTheme="minorHAnsi" w:hAnsiTheme="minorHAnsi" w:cstheme="minorHAnsi"/>
          <w:b/>
          <w:bCs/>
          <w:sz w:val="32"/>
          <w:szCs w:val="32"/>
        </w:rPr>
        <w:t>_</w:t>
      </w:r>
      <w:r w:rsidR="008B0D5B">
        <w:rPr>
          <w:rFonts w:asciiTheme="minorHAnsi" w:hAnsiTheme="minorHAnsi" w:cstheme="minorHAnsi"/>
          <w:b/>
          <w:bCs/>
          <w:sz w:val="32"/>
          <w:szCs w:val="32"/>
        </w:rPr>
        <w:t>__</w:t>
      </w:r>
      <w:r w:rsidRPr="008C360B">
        <w:rPr>
          <w:rFonts w:asciiTheme="minorHAnsi" w:hAnsiTheme="minorHAnsi" w:cstheme="minorHAnsi"/>
          <w:b/>
          <w:bCs/>
          <w:sz w:val="32"/>
          <w:szCs w:val="32"/>
        </w:rPr>
        <w:t>___________________________________________________________</w:t>
      </w:r>
    </w:p>
    <w:p w14:paraId="5A410D5C" w14:textId="77777777" w:rsidR="004F40A7" w:rsidRPr="008C360B" w:rsidRDefault="002A1B9E" w:rsidP="002A1B9E">
      <w:pPr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C360B">
        <w:rPr>
          <w:rFonts w:asciiTheme="minorHAnsi" w:hAnsiTheme="minorHAnsi" w:cstheme="minorHAnsi"/>
          <w:b/>
          <w:bCs/>
          <w:sz w:val="32"/>
          <w:szCs w:val="32"/>
        </w:rPr>
        <w:t xml:space="preserve">              EDIÇÃO </w:t>
      </w:r>
      <w:r w:rsidR="005C1973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244DA8"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="00CF482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41B55" w:rsidRPr="008C360B">
        <w:rPr>
          <w:rFonts w:asciiTheme="minorHAnsi" w:hAnsiTheme="minorHAnsi" w:cstheme="minorHAnsi"/>
          <w:b/>
          <w:bCs/>
          <w:sz w:val="32"/>
          <w:szCs w:val="32"/>
        </w:rPr>
        <w:t xml:space="preserve">– </w:t>
      </w:r>
      <w:r w:rsidR="00244DA8">
        <w:rPr>
          <w:rFonts w:asciiTheme="minorHAnsi" w:hAnsiTheme="minorHAnsi" w:cstheme="minorHAnsi"/>
          <w:b/>
          <w:bCs/>
          <w:sz w:val="32"/>
          <w:szCs w:val="32"/>
        </w:rPr>
        <w:t>DEZEM</w:t>
      </w:r>
      <w:r w:rsidR="002A0785">
        <w:rPr>
          <w:rFonts w:asciiTheme="minorHAnsi" w:hAnsiTheme="minorHAnsi" w:cstheme="minorHAnsi"/>
          <w:b/>
          <w:bCs/>
          <w:sz w:val="32"/>
          <w:szCs w:val="32"/>
        </w:rPr>
        <w:t>BRO</w:t>
      </w:r>
      <w:r w:rsidR="009914D7" w:rsidRPr="008C360B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p w14:paraId="0CAA55D2" w14:textId="77777777" w:rsidR="00946611" w:rsidRDefault="008B0D5B" w:rsidP="00946611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_</w:t>
      </w:r>
      <w:r w:rsidR="009F2062">
        <w:rPr>
          <w:rFonts w:asciiTheme="minorHAnsi" w:hAnsiTheme="minorHAnsi" w:cstheme="minorHAnsi"/>
          <w:b/>
          <w:bCs/>
          <w:sz w:val="26"/>
          <w:szCs w:val="26"/>
        </w:rPr>
        <w:t>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__________________________________</w:t>
      </w:r>
      <w:r w:rsidR="00946611">
        <w:rPr>
          <w:rFonts w:asciiTheme="minorHAnsi" w:hAnsiTheme="minorHAnsi" w:cstheme="minorHAnsi"/>
          <w:b/>
          <w:bCs/>
          <w:sz w:val="26"/>
          <w:szCs w:val="26"/>
        </w:rPr>
        <w:t>______________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7DAB1321" w14:textId="77777777" w:rsidR="008B0D5B" w:rsidRPr="008B0D5B" w:rsidRDefault="008B0D5B" w:rsidP="009F2062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RELATÓRIO RESUMIDO DAS AÇÕES JUDICIAIS PROMOVIDAS PELA FENASPE E FILIADAS</w:t>
      </w:r>
    </w:p>
    <w:p w14:paraId="2709E1E2" w14:textId="77777777" w:rsidR="008B0D5B" w:rsidRPr="008B0D5B" w:rsidRDefault="008B0D5B" w:rsidP="00946611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</w:t>
      </w:r>
      <w:r w:rsidR="009F2062">
        <w:rPr>
          <w:rFonts w:asciiTheme="minorHAnsi" w:hAnsiTheme="minorHAnsi" w:cstheme="minorHAnsi"/>
          <w:b/>
          <w:bCs/>
          <w:sz w:val="26"/>
          <w:szCs w:val="26"/>
        </w:rPr>
        <w:t>______________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_______________________________________________________</w:t>
      </w:r>
    </w:p>
    <w:p w14:paraId="412B6F8C" w14:textId="77777777" w:rsidR="008B0D5B" w:rsidRPr="008B0D5B" w:rsidRDefault="008B0D5B" w:rsidP="00946611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 – MEDIDAS ADMINISTRATIVAS</w:t>
      </w:r>
    </w:p>
    <w:p w14:paraId="3A631C89" w14:textId="77777777" w:rsidR="008B0D5B" w:rsidRPr="008B0D5B" w:rsidRDefault="008B0D5B" w:rsidP="00946611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074A82F9" w14:textId="77777777" w:rsidR="005D3254" w:rsidRPr="008B0D5B" w:rsidRDefault="005D3254" w:rsidP="005D3254">
      <w:pPr>
        <w:pStyle w:val="PargrafodaLista"/>
        <w:numPr>
          <w:ilvl w:val="0"/>
          <w:numId w:val="4"/>
        </w:numPr>
        <w:spacing w:before="0" w:after="0" w:line="360" w:lineRule="auto"/>
        <w:rPr>
          <w:rFonts w:asciiTheme="minorHAnsi" w:hAnsiTheme="minorHAnsi" w:cstheme="minorHAnsi"/>
          <w:bCs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  <w:lang w:eastAsia="pt-BR"/>
        </w:rPr>
        <w:t>PEDIDO DE PARTI</w:t>
      </w:r>
      <w:r w:rsidR="00195DC7">
        <w:rPr>
          <w:rFonts w:asciiTheme="minorHAnsi" w:hAnsiTheme="minorHAnsi" w:cstheme="minorHAnsi"/>
          <w:b/>
          <w:sz w:val="26"/>
          <w:szCs w:val="26"/>
          <w:lang w:eastAsia="pt-BR"/>
        </w:rPr>
        <w:t>CI</w:t>
      </w:r>
      <w:r>
        <w:rPr>
          <w:rFonts w:asciiTheme="minorHAnsi" w:hAnsiTheme="minorHAnsi" w:cstheme="minorHAnsi"/>
          <w:b/>
          <w:sz w:val="26"/>
          <w:szCs w:val="26"/>
          <w:lang w:eastAsia="pt-BR"/>
        </w:rPr>
        <w:t>PAÇÃO NO PROCESSO ADMINISTRATIVO DE CISÃO DO PPSP-R E DO PPSP-NR POR PATROCINADOR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</w:t>
      </w:r>
    </w:p>
    <w:p w14:paraId="508F3DB5" w14:textId="77777777" w:rsidR="005D3254" w:rsidRPr="008B0D5B" w:rsidRDefault="00486AF7" w:rsidP="005D3254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Requerente</w:t>
      </w:r>
      <w:r w:rsidR="005D3254"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  <w:r>
        <w:rPr>
          <w:rFonts w:asciiTheme="minorHAnsi" w:hAnsiTheme="minorHAnsi" w:cstheme="minorHAnsi"/>
          <w:sz w:val="26"/>
          <w:szCs w:val="26"/>
          <w:lang w:eastAsia="pt-BR"/>
        </w:rPr>
        <w:t>APAPE</w:t>
      </w:r>
    </w:p>
    <w:p w14:paraId="223F2BE3" w14:textId="77777777" w:rsidR="005D3254" w:rsidRPr="00B15602" w:rsidRDefault="00486AF7" w:rsidP="005D3254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</w:t>
      </w:r>
      <w:r w:rsidR="005D3254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: 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Distribuído à PREVIC (Processo </w:t>
      </w:r>
      <w:r w:rsidRPr="00486AF7">
        <w:rPr>
          <w:rFonts w:asciiTheme="minorHAnsi" w:hAnsiTheme="minorHAnsi" w:cstheme="minorHAnsi"/>
          <w:sz w:val="26"/>
          <w:szCs w:val="26"/>
          <w:lang w:eastAsia="pt-BR"/>
        </w:rPr>
        <w:t>44011.009724/2025-21.)</w:t>
      </w:r>
      <w:r w:rsidR="001E1A74">
        <w:rPr>
          <w:rFonts w:asciiTheme="minorHAnsi" w:hAnsiTheme="minorHAnsi" w:cstheme="minorHAnsi"/>
          <w:sz w:val="26"/>
          <w:szCs w:val="26"/>
          <w:lang w:eastAsia="pt-BR"/>
        </w:rPr>
        <w:t>. Aguarda análise.</w:t>
      </w:r>
    </w:p>
    <w:p w14:paraId="6C8362DA" w14:textId="77777777" w:rsidR="009F2062" w:rsidRDefault="009F2062" w:rsidP="00946611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077438AA" w14:textId="77777777" w:rsidR="008B0D5B" w:rsidRDefault="008B0D5B" w:rsidP="009F2062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II </w:t>
      </w:r>
      <w:r w:rsidR="00B15602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– AÇÕES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TRABALHISTAS</w:t>
      </w:r>
    </w:p>
    <w:p w14:paraId="10AE81CA" w14:textId="77777777" w:rsidR="009F2062" w:rsidRPr="008B0D5B" w:rsidRDefault="009F2062" w:rsidP="009F2062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11B5E66C" w14:textId="77777777" w:rsidR="008B0D5B" w:rsidRPr="009F2062" w:rsidRDefault="008B0D5B" w:rsidP="009F2062">
      <w:pPr>
        <w:pStyle w:val="PargrafodaLista"/>
        <w:numPr>
          <w:ilvl w:val="0"/>
          <w:numId w:val="8"/>
        </w:numPr>
        <w:spacing w:before="0" w:after="0" w:line="360" w:lineRule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9F2062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9F2062">
        <w:rPr>
          <w:rFonts w:asciiTheme="minorHAnsi" w:hAnsiTheme="minorHAnsi" w:cstheme="minorHAnsi"/>
          <w:sz w:val="26"/>
          <w:szCs w:val="26"/>
          <w:lang w:eastAsia="pt-BR"/>
        </w:rPr>
        <w:t xml:space="preserve"> AEPET</w:t>
      </w:r>
    </w:p>
    <w:p w14:paraId="0A556E04" w14:textId="77777777" w:rsidR="008B0D5B" w:rsidRPr="008B0D5B" w:rsidRDefault="00932D99" w:rsidP="00946611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bookmarkStart w:id="0" w:name="_Hlk201058687"/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Objeto: </w:t>
      </w:r>
      <w:r w:rsidR="008B0D5B"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Ação Ordinária - Diferenças de saldo no FGTS - </w:t>
      </w:r>
      <w:r w:rsidR="008B0D5B"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Ação do Recálculo do FGTS pelo INPC.</w:t>
      </w:r>
      <w:bookmarkEnd w:id="0"/>
    </w:p>
    <w:p w14:paraId="0A6A4C73" w14:textId="77777777" w:rsidR="008B0D5B" w:rsidRPr="008B0D5B" w:rsidRDefault="009F2062" w:rsidP="00946611">
      <w:pPr>
        <w:suppressAutoHyphens w:val="0"/>
        <w:autoSpaceDN/>
        <w:spacing w:before="0" w:after="0" w:line="360" w:lineRule="auto"/>
        <w:ind w:left="1134"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C360B">
        <w:rPr>
          <w:rFonts w:asciiTheme="minorHAnsi" w:hAnsiTheme="minorHAnsi"/>
          <w:b/>
          <w:bCs/>
          <w:sz w:val="28"/>
          <w:szCs w:val="28"/>
          <w:lang w:eastAsia="pt-BR"/>
        </w:rPr>
        <w:t xml:space="preserve">Tipo e </w:t>
      </w:r>
      <w:r w:rsidR="00932D99" w:rsidRPr="008C360B">
        <w:rPr>
          <w:rFonts w:asciiTheme="minorHAnsi" w:hAnsiTheme="minorHAnsi"/>
          <w:b/>
          <w:bCs/>
          <w:sz w:val="28"/>
          <w:szCs w:val="28"/>
          <w:lang w:eastAsia="pt-BR"/>
        </w:rPr>
        <w:t xml:space="preserve">Grupo: </w:t>
      </w:r>
      <w:r w:rsidRPr="008C360B">
        <w:rPr>
          <w:rFonts w:asciiTheme="minorHAnsi" w:hAnsiTheme="minorHAnsi"/>
          <w:sz w:val="28"/>
          <w:szCs w:val="28"/>
          <w:lang w:eastAsia="pt-BR"/>
        </w:rPr>
        <w:t>Contencioso / Trabalhista</w:t>
      </w:r>
      <w:r w:rsidR="008B0D5B" w:rsidRPr="008B0D5B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2B0385B6" w14:textId="77777777" w:rsid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Situação: </w:t>
      </w:r>
      <w:bookmarkStart w:id="1" w:name="_Hlk201058720"/>
      <w:r w:rsidRPr="001E1A74">
        <w:rPr>
          <w:rFonts w:asciiTheme="minorHAnsi" w:hAnsiTheme="minorHAnsi" w:cstheme="minorHAnsi"/>
          <w:bCs/>
          <w:color w:val="FF0000"/>
          <w:sz w:val="26"/>
          <w:szCs w:val="26"/>
          <w:lang w:eastAsia="pt-BR"/>
        </w:rPr>
        <w:t>Processo no TRF para aguardar o jul</w:t>
      </w:r>
      <w:r w:rsidR="0065179F" w:rsidRPr="001E1A74">
        <w:rPr>
          <w:rFonts w:asciiTheme="minorHAnsi" w:hAnsiTheme="minorHAnsi" w:cstheme="minorHAnsi"/>
          <w:bCs/>
          <w:color w:val="FF0000"/>
          <w:sz w:val="26"/>
          <w:szCs w:val="26"/>
          <w:lang w:eastAsia="pt-BR"/>
        </w:rPr>
        <w:t xml:space="preserve">gamento </w:t>
      </w:r>
      <w:r w:rsidR="001E1A74" w:rsidRPr="001E1A74">
        <w:rPr>
          <w:rFonts w:asciiTheme="minorHAnsi" w:hAnsiTheme="minorHAnsi" w:cstheme="minorHAnsi"/>
          <w:bCs/>
          <w:color w:val="FF0000"/>
          <w:sz w:val="26"/>
          <w:szCs w:val="26"/>
          <w:lang w:eastAsia="pt-BR"/>
        </w:rPr>
        <w:t>dos embargos declaratórios interpostos pela autora contra decisão que negou provimento ao recurso (agravo interno) por ela interposto.</w:t>
      </w:r>
    </w:p>
    <w:bookmarkEnd w:id="1"/>
    <w:p w14:paraId="412D57DB" w14:textId="77777777" w:rsid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Andamento da ADI 5090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(julgada em 12.06.24 – Transitada em julgado</w:t>
      </w:r>
      <w:r w:rsidR="002A2B2C">
        <w:rPr>
          <w:rFonts w:asciiTheme="minorHAnsi" w:hAnsiTheme="minorHAnsi" w:cstheme="minorHAnsi"/>
          <w:b/>
          <w:sz w:val="26"/>
          <w:szCs w:val="26"/>
          <w:lang w:eastAsia="pt-BR"/>
        </w:rPr>
        <w:t>)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.</w:t>
      </w:r>
    </w:p>
    <w:p w14:paraId="03904401" w14:textId="77777777" w:rsidR="009F2062" w:rsidRPr="008B0D5B" w:rsidRDefault="009F2062" w:rsidP="009F2062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508D8CDD" w14:textId="77777777" w:rsidR="008B0D5B" w:rsidRPr="008B0D5B" w:rsidRDefault="008B0D5B" w:rsidP="009F2062">
      <w:pPr>
        <w:spacing w:before="0" w:after="0" w:line="360" w:lineRule="auto"/>
        <w:ind w:left="2268"/>
        <w:rPr>
          <w:rFonts w:asciiTheme="minorHAnsi" w:hAnsiTheme="minorHAnsi" w:cstheme="minorHAnsi"/>
          <w:i/>
          <w:i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Tese fixada:</w:t>
      </w:r>
      <w:r w:rsidR="00932D99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 xml:space="preserve">Tribunal, por maioria e nos termos do voto médio do Ministro Flávio Dino, Redator para o acórdão, julgou parcialmente procedente o pedido formulado na ação direta, com atribuição de efeitos </w:t>
      </w:r>
      <w:proofErr w:type="spellStart"/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>ex</w:t>
      </w:r>
      <w:proofErr w:type="spellEnd"/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 xml:space="preserve"> nunc, a contar da publicação da ata de </w:t>
      </w:r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lastRenderedPageBreak/>
        <w:t>julgamento, estabelecendo o seguinte entendimento: a) Remuneração das contas vinculadas na forma legal (TR + 3% a.a. + distribuição dos resultados auferidos) em valor que garanta, no mínimo, o índice oficial de inflação (IPCA) em todos os exercícios; e b) Nos anos em que a remuneração das contas vinculadas ao FGTS não alcançar o IPCA, caberá ao Conselho Curador do Fundo (art. 3º da Lei nº 8.036/1990) determinar a forma de compensação. Vencidos os Ministros Luís Roberto Barroso (Presidente e Relator), André Mendonça, Nunes Marques e Edson Fachin, que julgavam parcialmente procedente o pedido para declarar que a remuneração das contas do FGTS não pode ser inferior à da caderneta de poupança, modulando os efeitos para os novos depósitos efetuados a partir de 2025. Ficaram vencidos parcialmente os Ministros Cristiano Zanin, Alexandre de Moraes, Dias Toffoli e Gilmar Mendes, que julgavam inteiramente improcedente o pedido. Plenário, 12.6.2024</w:t>
      </w:r>
    </w:p>
    <w:p w14:paraId="6161E475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i/>
          <w:iCs/>
          <w:sz w:val="26"/>
          <w:szCs w:val="26"/>
          <w:lang w:eastAsia="pt-BR"/>
        </w:rPr>
      </w:pPr>
    </w:p>
    <w:p w14:paraId="0386451C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2.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ab/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APAPE</w:t>
      </w:r>
    </w:p>
    <w:p w14:paraId="5115E62A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Ordinária - Diferenças de saldo no FGTS -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Ação do Recálculo do FGTS pelo INPC.</w:t>
      </w:r>
    </w:p>
    <w:p w14:paraId="502BAC6D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Trabalhista.</w:t>
      </w:r>
    </w:p>
    <w:p w14:paraId="3682C344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9F2062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: Processo no TRF para aguardar o julgamento </w:t>
      </w:r>
      <w:r w:rsidR="00CF482D">
        <w:rPr>
          <w:rFonts w:asciiTheme="minorHAnsi" w:hAnsiTheme="minorHAnsi" w:cstheme="minorHAnsi"/>
          <w:sz w:val="26"/>
          <w:szCs w:val="26"/>
          <w:lang w:eastAsia="pt-BR"/>
        </w:rPr>
        <w:t>dos embargos declaratórios interpostos pela APAPE quanto ao prosseguimento dos recursos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. </w:t>
      </w:r>
    </w:p>
    <w:p w14:paraId="5189D03C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Andamento da ADI 5090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(julgada em 12.06.24 – Transitada em julgado.</w:t>
      </w:r>
    </w:p>
    <w:p w14:paraId="2F06610B" w14:textId="77777777" w:rsidR="008B0D5B" w:rsidRPr="008B0D5B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22C5B545" w14:textId="77777777" w:rsidR="008B0D5B" w:rsidRPr="008B0D5B" w:rsidRDefault="008B0D5B" w:rsidP="009F2062">
      <w:pPr>
        <w:ind w:left="2268"/>
        <w:rPr>
          <w:rFonts w:asciiTheme="minorHAnsi" w:hAnsiTheme="minorHAnsi" w:cstheme="minorHAnsi"/>
          <w:i/>
          <w:i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Tese fixada:</w:t>
      </w:r>
      <w:r w:rsidR="00932D99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 xml:space="preserve">Tribunal, por maioria e nos termos do voto médio do Ministro Flávio Dino, Redator para o acórdão, julgou parcialmente procedente o pedido formulado na ação direta, com atribuição de efeitos </w:t>
      </w:r>
      <w:proofErr w:type="spellStart"/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>ex</w:t>
      </w:r>
      <w:proofErr w:type="spellEnd"/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t xml:space="preserve"> nunc, a contar da publicação da ata de julgamento, estabelecendo o seguinte entendimento: a) Remuneração das contas vinculadas na forma legal (TR + 3% a.a. + distribuição dos resultados auferidos) em valor que garanta, no mínimo, o índice oficial de inflação (IPCA) em todos os exercícios; e b) Nos anos em que a remuneração das contas vinculadas ao FGTS não </w:t>
      </w:r>
      <w:r w:rsidRPr="008B0D5B">
        <w:rPr>
          <w:rFonts w:asciiTheme="minorHAnsi" w:hAnsiTheme="minorHAnsi" w:cstheme="minorHAnsi"/>
          <w:i/>
          <w:iCs/>
          <w:sz w:val="26"/>
          <w:szCs w:val="26"/>
          <w:lang w:eastAsia="pt-BR"/>
        </w:rPr>
        <w:lastRenderedPageBreak/>
        <w:t>alcançar o IPCA, caberá ao Conselho Curador do Fundo (art. 3º da Lei nº 8.036/1990) determinar a forma de compensação. Vencidos os Ministros Luís Roberto Barroso (Presidente e Relator), André Mendonça, Nunes Marques e Edson Fachin, que julgavam parcialmente procedente o pedido para declarar que a remuneração das contas do FGTS não pode ser inferior à da caderneta de poupança, modulando os efeitos para os novos depósitos efetuados a partir de 2025. Ficaram vencidos parcialmente os Ministros Cristiano Zanin, Alexandre de Moraes, Dias Toffoli e Gilmar Mendes, que julgavam inteiramente improcedente o pedido. Plenário, 12.6.2024</w:t>
      </w:r>
    </w:p>
    <w:p w14:paraId="15C7DC7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2F6207F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3.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APAPE, AEPET</w:t>
      </w:r>
    </w:p>
    <w:p w14:paraId="5ED7774D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AMS VIBRA – Bradesco Saúde e Dental. </w:t>
      </w:r>
    </w:p>
    <w:p w14:paraId="0B089B25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Trabalhista.</w:t>
      </w:r>
    </w:p>
    <w:p w14:paraId="64348992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Situação: </w:t>
      </w:r>
      <w:r w:rsidR="001E1A74" w:rsidRPr="001E1A74">
        <w:rPr>
          <w:rFonts w:asciiTheme="minorHAnsi" w:hAnsiTheme="minorHAnsi" w:cstheme="minorHAnsi"/>
          <w:color w:val="FF0000"/>
          <w:sz w:val="26"/>
          <w:szCs w:val="26"/>
          <w:lang w:eastAsia="pt-BR"/>
        </w:rPr>
        <w:t>Negado provimento ao recurso da Vibra S.A. Aguarda abertura de prazo para manifestação sobre os embargos declaratórios por ela interpostos.</w:t>
      </w:r>
    </w:p>
    <w:p w14:paraId="4E8E898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4D3F7BBA" w14:textId="77777777" w:rsidR="008B0D5B" w:rsidRPr="009F2062" w:rsidRDefault="008B0D5B" w:rsidP="009F2062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4.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</w:rPr>
        <w:t>FENASPE e AEPET – APAPE – ASTAPE-RJ –APASPETRO-RN –AAPESP-RS –ASTAPE-BA – ABRASPET-BA.</w:t>
      </w:r>
    </w:p>
    <w:p w14:paraId="177A6D6F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Indenização -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indenizatória contra a Petrobrás e Petrobras Distribuidora (hoje VIBRA) por responsabilidade objetiva no dano decorrente da configuração do déficit por atos omissivos e comissivos das patrocinadoras empregadoras.</w:t>
      </w:r>
    </w:p>
    <w:p w14:paraId="4EC4ED2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Trabalhista/Previdenciário.</w:t>
      </w:r>
    </w:p>
    <w:p w14:paraId="73CAC2FD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Situação: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no TST para aguardar o julgamento do recurso de Embargos.</w:t>
      </w:r>
    </w:p>
    <w:p w14:paraId="44A74B3C" w14:textId="77777777" w:rsidR="008B0D5B" w:rsidRPr="008B0D5B" w:rsidRDefault="008B0D5B" w:rsidP="008B0D5B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60FE2937" w14:textId="77777777" w:rsidR="008B0D5B" w:rsidRPr="008B0D5B" w:rsidRDefault="008B0D5B" w:rsidP="008B0D5B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III – AÇÕES TRIBUTÁRIO-FISCAIS</w:t>
      </w:r>
    </w:p>
    <w:p w14:paraId="11801CD1" w14:textId="77777777" w:rsidR="008B0D5B" w:rsidRPr="008B0D5B" w:rsidRDefault="008B0D5B" w:rsidP="008B0D5B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7ADE3EBC" w14:textId="77777777" w:rsidR="008B0D5B" w:rsidRPr="008B0D5B" w:rsidRDefault="008B0D5B" w:rsidP="007B6B95">
      <w:pPr>
        <w:pStyle w:val="PargrafodaLista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</w:rPr>
        <w:t>AEPET e APAPE – ASTAPERJ X UNIAO FEDERAL</w:t>
      </w:r>
    </w:p>
    <w:p w14:paraId="3B19B712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de restituição de indébito - IR sobre contribuições extraordinárias.</w:t>
      </w:r>
    </w:p>
    <w:p w14:paraId="64910248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Tributário/Fiscal.</w:t>
      </w:r>
    </w:p>
    <w:p w14:paraId="2A116EB5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iCs/>
          <w:sz w:val="26"/>
          <w:szCs w:val="26"/>
          <w:lang w:eastAsia="pt-BR"/>
        </w:rPr>
        <w:lastRenderedPageBreak/>
        <w:t xml:space="preserve">Situação: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Vitória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- Processo no STJ/STF aguardando julgamento do recurso interposto pelas partes (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sobrestado pelo tema 1224 do STJ).</w:t>
      </w:r>
    </w:p>
    <w:p w14:paraId="79D0D477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5B73DAB5" w14:textId="77777777" w:rsidR="008B0D5B" w:rsidRPr="008B0D5B" w:rsidRDefault="008B0D5B" w:rsidP="007B6B95">
      <w:pPr>
        <w:pStyle w:val="PargrafodaLista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AAPESP-RS X UNIÃO</w:t>
      </w:r>
    </w:p>
    <w:p w14:paraId="069A26CD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de restituição de indébito - IR sobre contribuições extraordinárias.</w:t>
      </w:r>
    </w:p>
    <w:p w14:paraId="62CF402A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Tributário/Fiscal.</w:t>
      </w:r>
    </w:p>
    <w:p w14:paraId="43DD8637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2472C898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iCs/>
          <w:sz w:val="26"/>
          <w:szCs w:val="26"/>
          <w:lang w:eastAsia="pt-BR"/>
        </w:rPr>
        <w:t xml:space="preserve">Situação: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no STJ/STF aguardando julgamento do recurso interposto pelas partes (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sobrestado pelo tema 1224 do STJ).</w:t>
      </w:r>
    </w:p>
    <w:p w14:paraId="6286362D" w14:textId="77777777" w:rsidR="008B0D5B" w:rsidRPr="008B0D5B" w:rsidRDefault="008B0D5B" w:rsidP="007B6B95">
      <w:pPr>
        <w:spacing w:before="0" w:after="0" w:line="360" w:lineRule="auto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51D936B6" w14:textId="77777777" w:rsidR="008B0D5B" w:rsidRPr="008B0D5B" w:rsidRDefault="008B0D5B" w:rsidP="007B6B95">
      <w:pPr>
        <w:spacing w:before="0" w:after="0" w:line="360" w:lineRule="auto"/>
        <w:ind w:left="426" w:firstLine="708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IV – AÇÕES DE PREVIDÊNCIA PRIVADA</w:t>
      </w:r>
    </w:p>
    <w:p w14:paraId="1514C035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81E6DCB" w14:textId="77777777" w:rsidR="008B0D5B" w:rsidRPr="008B0D5B" w:rsidRDefault="008B0D5B" w:rsidP="007B6B95">
      <w:pPr>
        <w:numPr>
          <w:ilvl w:val="0"/>
          <w:numId w:val="1"/>
        </w:numPr>
        <w:suppressAutoHyphens w:val="0"/>
        <w:autoSpaceDN/>
        <w:spacing w:before="0" w:after="0" w:line="360" w:lineRule="auto"/>
        <w:ind w:left="1134" w:firstLine="0"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FENASPE, AEPET, APAPE, ASTAIPE-SP, APASPETRO-RN, ASPENE-SE E AAPESP-RS</w:t>
      </w:r>
    </w:p>
    <w:p w14:paraId="2266FBF6" w14:textId="77777777" w:rsidR="008B0D5B" w:rsidRPr="008B0D5B" w:rsidRDefault="008B0D5B" w:rsidP="007B6B95">
      <w:pPr>
        <w:suppressAutoHyphens w:val="0"/>
        <w:autoSpaceDN/>
        <w:spacing w:before="0" w:after="0" w:line="360" w:lineRule="auto"/>
        <w:ind w:left="1134"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Tipo e </w:t>
      </w:r>
      <w:r w:rsidR="00932D99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Grupo: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Contencioso / Previdenciário.</w:t>
      </w:r>
    </w:p>
    <w:p w14:paraId="63DCBF7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-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Ação Civil Pública visando ao refazimento do PED e sustação das contribuições extraordinárias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. </w:t>
      </w:r>
    </w:p>
    <w:p w14:paraId="26AA33CA" w14:textId="77777777" w:rsidR="008B0D5B" w:rsidRPr="001E1A74" w:rsidRDefault="008B0D5B" w:rsidP="001E1A74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i/>
          <w:color w:val="FF0000"/>
          <w:sz w:val="26"/>
          <w:szCs w:val="26"/>
          <w:u w:val="single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Situação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  <w:r w:rsidRPr="001E1A74">
        <w:rPr>
          <w:rFonts w:asciiTheme="minorHAnsi" w:hAnsiTheme="minorHAnsi" w:cstheme="minorHAnsi"/>
          <w:bCs/>
          <w:color w:val="FF0000"/>
          <w:sz w:val="26"/>
          <w:szCs w:val="26"/>
          <w:lang w:eastAsia="pt-BR"/>
        </w:rPr>
        <w:t>Processo sobrestado até o trânsito em julgado do IRDR</w:t>
      </w:r>
      <w:r w:rsidRPr="001E1A74">
        <w:rPr>
          <w:rFonts w:asciiTheme="minorHAnsi" w:hAnsiTheme="minorHAnsi" w:cstheme="minorHAnsi"/>
          <w:b/>
          <w:bCs/>
          <w:i/>
          <w:color w:val="FF0000"/>
          <w:sz w:val="26"/>
          <w:szCs w:val="26"/>
          <w:lang w:eastAsia="pt-BR"/>
        </w:rPr>
        <w:t xml:space="preserve">. </w:t>
      </w:r>
      <w:r w:rsidR="001E1A74" w:rsidRPr="001E1A74">
        <w:rPr>
          <w:rFonts w:asciiTheme="minorHAnsi" w:hAnsiTheme="minorHAnsi" w:cstheme="minorHAnsi"/>
          <w:b/>
          <w:bCs/>
          <w:i/>
          <w:color w:val="FF0000"/>
          <w:sz w:val="26"/>
          <w:szCs w:val="26"/>
          <w:lang w:eastAsia="pt-BR"/>
        </w:rPr>
        <w:t>Todavia, em 16.12.2025 foi proferido o seguinte despacho: “Às partes, sobre os documentos retro acostados.” Aguarda publicação no D.O.</w:t>
      </w:r>
    </w:p>
    <w:p w14:paraId="6A919403" w14:textId="77777777" w:rsidR="008B0D5B" w:rsidRPr="008B0D5B" w:rsidRDefault="008B0D5B" w:rsidP="008B0D5B">
      <w:pPr>
        <w:tabs>
          <w:tab w:val="left" w:pos="5640"/>
        </w:tabs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sz w:val="26"/>
          <w:szCs w:val="26"/>
          <w:lang w:eastAsia="pt-BR"/>
        </w:rPr>
        <w:tab/>
      </w:r>
    </w:p>
    <w:p w14:paraId="6DE829CD" w14:textId="77777777" w:rsidR="00C275BC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2. R</w:t>
      </w:r>
      <w:r w:rsidR="00C275BC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eclamação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C</w:t>
      </w:r>
      <w:r w:rsidR="00C275BC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onstitucional</w:t>
      </w:r>
    </w:p>
    <w:p w14:paraId="7E98A131" w14:textId="77777777" w:rsidR="008B0D5B" w:rsidRPr="007B6B95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="00932D99"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PETROS x FENASPE e AEPET – APAPE – ASTAPE-RJ - APASPETRO-RN –AAPESP-RS –ASPENE-SE – ASTAIPE-SP </w:t>
      </w:r>
    </w:p>
    <w:p w14:paraId="406CE19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ab/>
        <w:t xml:space="preserve">Restaurar os efeitos da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decisão que determinou o recolhimento de contribuições extraordinárias em 50%.</w:t>
      </w:r>
    </w:p>
    <w:p w14:paraId="2C174363" w14:textId="77777777" w:rsidR="008B0D5B" w:rsidRPr="008B0D5B" w:rsidRDefault="008B0D5B" w:rsidP="008B0D5B">
      <w:pPr>
        <w:suppressAutoHyphens w:val="0"/>
        <w:autoSpaceDN/>
        <w:spacing w:before="0" w:after="0" w:line="360" w:lineRule="auto"/>
        <w:ind w:left="1134"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Tipo e </w:t>
      </w:r>
      <w:r w:rsidR="00932D99"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Grupo: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Contencioso / Previdenciário.</w:t>
      </w:r>
    </w:p>
    <w:p w14:paraId="1380E52A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Situação: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Negado provimento ao recurso das autoras no STF</w:t>
      </w:r>
      <w:r w:rsidR="00A2213A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. Aguarda julgamento dos </w:t>
      </w:r>
      <w:r w:rsidR="00A2213A">
        <w:rPr>
          <w:rFonts w:asciiTheme="minorHAnsi" w:hAnsiTheme="minorHAnsi" w:cstheme="minorHAnsi"/>
          <w:bCs/>
          <w:sz w:val="26"/>
          <w:szCs w:val="26"/>
          <w:lang w:eastAsia="pt-BR"/>
        </w:rPr>
        <w:lastRenderedPageBreak/>
        <w:t>embargos declaratórios interpostos contra a referida decisão.</w:t>
      </w:r>
    </w:p>
    <w:p w14:paraId="52E4389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</w:p>
    <w:p w14:paraId="185B41B6" w14:textId="77777777" w:rsidR="008B0D5B" w:rsidRPr="00C275BC" w:rsidRDefault="008B0D5B" w:rsidP="00C275BC">
      <w:pPr>
        <w:pStyle w:val="PargrafodaLista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C275BC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C275BC">
        <w:rPr>
          <w:rFonts w:asciiTheme="minorHAnsi" w:hAnsiTheme="minorHAnsi" w:cstheme="minorHAnsi"/>
          <w:sz w:val="26"/>
          <w:szCs w:val="26"/>
          <w:lang w:eastAsia="pt-BR"/>
        </w:rPr>
        <w:t xml:space="preserve"> A</w:t>
      </w:r>
      <w:r w:rsidR="00C275BC" w:rsidRPr="00C275BC">
        <w:rPr>
          <w:rFonts w:asciiTheme="minorHAnsi" w:hAnsiTheme="minorHAnsi" w:cstheme="minorHAnsi"/>
          <w:sz w:val="26"/>
          <w:szCs w:val="26"/>
          <w:lang w:eastAsia="pt-BR"/>
        </w:rPr>
        <w:t>micus</w:t>
      </w:r>
      <w:r w:rsidR="00932D9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proofErr w:type="spellStart"/>
      <w:r w:rsidRPr="00C275BC">
        <w:rPr>
          <w:rFonts w:asciiTheme="minorHAnsi" w:hAnsiTheme="minorHAnsi" w:cstheme="minorHAnsi"/>
          <w:sz w:val="26"/>
          <w:szCs w:val="26"/>
          <w:lang w:eastAsia="pt-BR"/>
        </w:rPr>
        <w:t>C</w:t>
      </w:r>
      <w:r w:rsidR="00C275BC" w:rsidRPr="00C275BC">
        <w:rPr>
          <w:rFonts w:asciiTheme="minorHAnsi" w:hAnsiTheme="minorHAnsi" w:cstheme="minorHAnsi"/>
          <w:sz w:val="26"/>
          <w:szCs w:val="26"/>
          <w:lang w:eastAsia="pt-BR"/>
        </w:rPr>
        <w:t>uriae</w:t>
      </w:r>
      <w:proofErr w:type="spellEnd"/>
      <w:r w:rsidRPr="00C275BC">
        <w:rPr>
          <w:rFonts w:asciiTheme="minorHAnsi" w:hAnsiTheme="minorHAnsi" w:cstheme="minorHAnsi"/>
          <w:sz w:val="26"/>
          <w:szCs w:val="26"/>
          <w:lang w:eastAsia="pt-BR"/>
        </w:rPr>
        <w:t>: FENASPE e AEPET.</w:t>
      </w:r>
    </w:p>
    <w:p w14:paraId="7FF4A294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Objeto: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IRDR (Incidente de Resolução de Demandas Repetitivas) - Fixar tese sobre a legalidade do PED - Plano de Equacionamento -</w:t>
      </w:r>
      <w:r w:rsidR="00932D99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proposto pela Petros e suas patrocinadoras.</w:t>
      </w:r>
    </w:p>
    <w:p w14:paraId="670E0232" w14:textId="77777777" w:rsidR="008B0D5B" w:rsidRPr="008B0D5B" w:rsidRDefault="008B0D5B" w:rsidP="008B0D5B">
      <w:pPr>
        <w:suppressAutoHyphens w:val="0"/>
        <w:autoSpaceDN/>
        <w:spacing w:before="0" w:after="0" w:line="360" w:lineRule="auto"/>
        <w:ind w:left="1134"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Tipo e Grupo: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Contencioso / Previdenciário.</w:t>
      </w:r>
    </w:p>
    <w:p w14:paraId="1F7730E0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</w:p>
    <w:p w14:paraId="3A9ACCC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Situação: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julgado em 05.09.2024. Fixada a seguinte tese:</w:t>
      </w:r>
    </w:p>
    <w:p w14:paraId="5FADD79C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2B35712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I. O E</w:t>
      </w:r>
      <w:r w:rsidR="00C275BC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quacionamento</w:t>
      </w:r>
      <w:r w:rsidR="00932D99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do déficit atuarial da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PETROS 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é lícito e necessário à garantia da higidez do plano de previdência privada, em consonância com o que dispõe a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L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ei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C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omplementar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109/2001; </w:t>
      </w:r>
    </w:p>
    <w:p w14:paraId="3C43048A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II. A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s alíquotas de contribuição extraordinária atribuídas a participantes e assistidos não afrontam os princípios da proporcionalidade e da razoabilidade.</w:t>
      </w:r>
    </w:p>
    <w:p w14:paraId="72120962" w14:textId="77777777" w:rsidR="008B0D5B" w:rsidRPr="007E05BD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Fizemos novos embargos declaratórios, cujo provimento foi negado. </w:t>
      </w:r>
      <w:r w:rsidR="00D85920" w:rsidRPr="000C1963">
        <w:rPr>
          <w:rFonts w:asciiTheme="minorHAnsi" w:hAnsiTheme="minorHAnsi" w:cstheme="minorHAnsi"/>
          <w:bCs/>
          <w:color w:val="000000" w:themeColor="text1"/>
          <w:sz w:val="26"/>
          <w:szCs w:val="26"/>
          <w:lang w:eastAsia="pt-BR"/>
        </w:rPr>
        <w:t>Aguarda julgamento do recurso interposto pelos demais interessados.</w:t>
      </w:r>
      <w:r w:rsidR="00A50DFB">
        <w:rPr>
          <w:rFonts w:asciiTheme="minorHAnsi" w:hAnsiTheme="minorHAnsi" w:cstheme="minorHAnsi"/>
          <w:bCs/>
          <w:color w:val="000000" w:themeColor="text1"/>
          <w:sz w:val="26"/>
          <w:szCs w:val="26"/>
          <w:lang w:eastAsia="pt-BR"/>
        </w:rPr>
        <w:t xml:space="preserve"> </w:t>
      </w:r>
      <w:r w:rsidR="00A50DFB" w:rsidRPr="007E05BD">
        <w:rPr>
          <w:rFonts w:asciiTheme="minorHAnsi" w:hAnsiTheme="minorHAnsi" w:cstheme="minorHAnsi"/>
          <w:b/>
          <w:bCs/>
          <w:sz w:val="26"/>
          <w:szCs w:val="26"/>
          <w:u w:val="single"/>
          <w:lang w:eastAsia="pt-BR"/>
        </w:rPr>
        <w:t>Em tempo: Apresentamos contrarrazões. Aguarda juízo de admissibilidade.</w:t>
      </w:r>
    </w:p>
    <w:p w14:paraId="38FED9FB" w14:textId="77777777" w:rsidR="00D85920" w:rsidRPr="008B0D5B" w:rsidRDefault="00D85920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23FD42E2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4.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ab/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8B0D5B">
        <w:rPr>
          <w:rFonts w:asciiTheme="minorHAnsi" w:hAnsiTheme="minorHAnsi" w:cstheme="minorHAnsi"/>
          <w:sz w:val="26"/>
          <w:szCs w:val="26"/>
        </w:rPr>
        <w:t xml:space="preserve"> FENASPE e ASTAPE-RJ – ASTAIPE-SP - APAPE, AEPET, AEPET-BA, ASPENE-SE</w:t>
      </w:r>
    </w:p>
    <w:p w14:paraId="45FBA3A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Mandado de Segurança – PREVENTIVO - Impedir que a PREVIC aprove a proposta da Petros para separação das massas de repactuados e não repactuados, com fim de promover a cisão do PPSP.</w:t>
      </w:r>
    </w:p>
    <w:p w14:paraId="61C134EC" w14:textId="77777777" w:rsidR="008B0D5B" w:rsidRPr="008B0D5B" w:rsidRDefault="008B0D5B" w:rsidP="008B0D5B">
      <w:pPr>
        <w:suppressAutoHyphens w:val="0"/>
        <w:autoSpaceDN/>
        <w:spacing w:before="0" w:after="0" w:line="360" w:lineRule="auto"/>
        <w:ind w:left="1134"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Tipo e Grupo: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Contencioso / Previdenciário.</w:t>
      </w:r>
    </w:p>
    <w:p w14:paraId="4C182EF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>Processo no TRF para aguardar julgamento de recurso das autoras.</w:t>
      </w:r>
    </w:p>
    <w:p w14:paraId="56CF2694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6407DBF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6.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</w:rPr>
        <w:t xml:space="preserve">FENASPE e AEPET –APAPE – ASTAPE-RJ –APASPETRO-RN – AAPESP-RS – ASPENE-SE. </w:t>
      </w:r>
    </w:p>
    <w:p w14:paraId="1C8EC1FD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Civil Pública cobrando dívidas da Petrobras Distribuidora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com o Plano Petros 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lastRenderedPageBreak/>
        <w:t>Sistema Petrobrás - PPSP.</w:t>
      </w:r>
    </w:p>
    <w:p w14:paraId="2BB4DB48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Previdenciário.</w:t>
      </w:r>
    </w:p>
    <w:p w14:paraId="544D20DD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Situação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Processo em primeira instância no TJRJ aguardando a conclusão das provas e posterior sentença.</w:t>
      </w:r>
    </w:p>
    <w:p w14:paraId="2DF2919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4DC8C08C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7.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Partes: </w:t>
      </w:r>
      <w:r w:rsidRPr="008B0D5B">
        <w:rPr>
          <w:rFonts w:asciiTheme="minorHAnsi" w:hAnsiTheme="minorHAnsi" w:cstheme="minorHAnsi"/>
          <w:sz w:val="26"/>
          <w:szCs w:val="26"/>
        </w:rPr>
        <w:t>FENASPE e AEPET, APAPE, ASTAPE-RJ, ASTAIPE-SP, ASTAPE-RJ.</w:t>
      </w:r>
    </w:p>
    <w:p w14:paraId="298FA18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Civil Pública visando cobrança de dívidas e condenação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da Petrobras para pagar.</w:t>
      </w:r>
      <w:bookmarkStart w:id="2" w:name="_gjdgxs" w:colFirst="0" w:colLast="0"/>
      <w:bookmarkEnd w:id="2"/>
    </w:p>
    <w:p w14:paraId="0633F29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Previdenciário.</w:t>
      </w:r>
    </w:p>
    <w:p w14:paraId="11EE2FB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Situação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Processo no STJ aguardando julgamento do recurso interposto pelas autoras.</w:t>
      </w:r>
    </w:p>
    <w:p w14:paraId="79A98DC4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78B095EE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8.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AEPET</w:t>
      </w:r>
    </w:p>
    <w:p w14:paraId="2974C3DF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Coletiva–modificação do Limite de Contribuição dos Pós-82.</w:t>
      </w:r>
    </w:p>
    <w:p w14:paraId="7F8B17F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Previdenciário.</w:t>
      </w:r>
    </w:p>
    <w:p w14:paraId="1622D298" w14:textId="77777777" w:rsidR="008B0D5B" w:rsidRPr="008B0D5B" w:rsidRDefault="008B0D5B" w:rsidP="008B0D5B">
      <w:pPr>
        <w:autoSpaceDE w:val="0"/>
        <w:adjustRightInd w:val="0"/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Situação Atual: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em primeira instância no TJRJ aguardando a conclusão das provas e posterior sentença.</w:t>
      </w:r>
    </w:p>
    <w:p w14:paraId="50F5DADF" w14:textId="77777777" w:rsidR="008B0D5B" w:rsidRPr="008B0D5B" w:rsidRDefault="008B0D5B" w:rsidP="008B0D5B">
      <w:pPr>
        <w:spacing w:before="0" w:after="0" w:line="360" w:lineRule="auto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02DA8C0F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9.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APAPE</w:t>
      </w:r>
    </w:p>
    <w:p w14:paraId="153BD645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Ação Civil Pública - Eliminação do limite de contribuição para os participantes da Petros do Grupo Pós-82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3397DF1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 / Previdenciário.</w:t>
      </w:r>
    </w:p>
    <w:p w14:paraId="64569E3E" w14:textId="77777777" w:rsidR="005D3254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Situação: </w:t>
      </w:r>
      <w:r w:rsidR="00D034E5" w:rsidRPr="00A50DFB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eastAsia="pt-BR"/>
        </w:rPr>
        <w:t>Negado provimento ao recurso da APAPE</w:t>
      </w:r>
      <w:r w:rsidR="00A50DFB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eastAsia="pt-BR"/>
        </w:rPr>
        <w:t xml:space="preserve"> no </w:t>
      </w:r>
      <w:r w:rsidR="001E1A74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eastAsia="pt-BR"/>
        </w:rPr>
        <w:t>STF</w:t>
      </w:r>
      <w:r w:rsidR="00D034E5" w:rsidRPr="00A50DFB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eastAsia="pt-BR"/>
        </w:rPr>
        <w:t xml:space="preserve">. </w:t>
      </w:r>
      <w:r w:rsidR="001E1A74" w:rsidRPr="001E1A74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eastAsia="pt-BR"/>
        </w:rPr>
        <w:t>Aguarda publicação da decisão no D.O.</w:t>
      </w:r>
    </w:p>
    <w:p w14:paraId="6A019A65" w14:textId="77777777" w:rsidR="008B0D5B" w:rsidRPr="008B0D5B" w:rsidRDefault="008B0D5B" w:rsidP="008B0D5B">
      <w:pPr>
        <w:spacing w:before="0" w:after="0" w:line="360" w:lineRule="auto"/>
        <w:ind w:left="1134"/>
        <w:contextualSpacing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10. </w:t>
      </w: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7B6B95">
        <w:rPr>
          <w:rFonts w:asciiTheme="minorHAnsi" w:hAnsiTheme="minorHAnsi" w:cstheme="minorHAnsi"/>
          <w:sz w:val="26"/>
          <w:szCs w:val="26"/>
          <w:lang w:eastAsia="pt-BR"/>
        </w:rPr>
        <w:t>R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ecorrente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APAPE</w:t>
      </w:r>
      <w:bookmarkStart w:id="3" w:name="_30j0zll" w:colFirst="0" w:colLast="0"/>
      <w:bookmarkEnd w:id="3"/>
    </w:p>
    <w:p w14:paraId="5A8D07C8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M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andado de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S</w:t>
      </w:r>
      <w:r w:rsidR="003E2A33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egurança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-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Suspender qualquer apreciação sobre proposta de retirada de patrocínio do Plano Petros PQU.</w:t>
      </w:r>
    </w:p>
    <w:p w14:paraId="6F705D7E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44BFA2CF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lastRenderedPageBreak/>
        <w:t>Situação:</w:t>
      </w:r>
      <w:r w:rsidR="00932D99">
        <w:rPr>
          <w:rFonts w:asciiTheme="minorHAnsi" w:hAnsiTheme="minorHAnsi" w:cstheme="minorHAnsi"/>
          <w:sz w:val="26"/>
          <w:szCs w:val="26"/>
          <w:lang w:eastAsia="pt-BR"/>
        </w:rPr>
        <w:t xml:space="preserve"> P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rocesso no TRF aguardando julgamento do recurso interposto pelas autoras.</w:t>
      </w:r>
    </w:p>
    <w:p w14:paraId="06D5B8BE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01D06D2" w14:textId="77777777" w:rsidR="007D7690" w:rsidRDefault="008B0D5B" w:rsidP="007B6B95">
      <w:pPr>
        <w:suppressAutoHyphens w:val="0"/>
        <w:autoSpaceDN/>
        <w:spacing w:before="0" w:after="0" w:line="360" w:lineRule="auto"/>
        <w:ind w:left="1134"/>
        <w:contextualSpacing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11. Promovido pelo falecido Castagna Maia</w:t>
      </w:r>
      <w:r w:rsidR="007D7690">
        <w:rPr>
          <w:rFonts w:asciiTheme="minorHAnsi" w:hAnsiTheme="minorHAnsi" w:cstheme="minorHAnsi"/>
          <w:b/>
          <w:sz w:val="26"/>
          <w:szCs w:val="26"/>
          <w:lang w:eastAsia="pt-BR"/>
        </w:rPr>
        <w:t>.</w:t>
      </w:r>
    </w:p>
    <w:p w14:paraId="049B902B" w14:textId="77777777" w:rsidR="008B0D5B" w:rsidRPr="007B6B95" w:rsidRDefault="008B0D5B" w:rsidP="007B6B95">
      <w:pPr>
        <w:suppressAutoHyphens w:val="0"/>
        <w:autoSpaceDN/>
        <w:spacing w:before="0" w:after="0" w:line="360" w:lineRule="auto"/>
        <w:ind w:left="1134"/>
        <w:contextualSpacing/>
        <w:textAlignment w:val="auto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Partes: recorrente FENASPE – ASTAPE-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RJ – SINDIPETRO- RJ e SINDIPETRO- LP·.</w:t>
      </w:r>
    </w:p>
    <w:p w14:paraId="5EF667FC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Mandado de Segurança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- Repactuação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- Declarar nula a Portaria 2123 de 11/2008 da Diretoria de Análise Técnica da PREVIC que aprovou a mudança do R</w:t>
      </w:r>
      <w:r w:rsidR="007D7690">
        <w:rPr>
          <w:rFonts w:asciiTheme="minorHAnsi" w:hAnsiTheme="minorHAnsi" w:cstheme="minorHAnsi"/>
          <w:sz w:val="26"/>
          <w:szCs w:val="26"/>
          <w:lang w:eastAsia="pt-BR"/>
        </w:rPr>
        <w:t>egulamento do Plano de Benefícios do</w:t>
      </w:r>
      <w:r w:rsidR="00932D9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PPSP em 2008, permitindo os efeitos da repactuação.</w:t>
      </w:r>
    </w:p>
    <w:p w14:paraId="2E00086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sz w:val="26"/>
          <w:szCs w:val="26"/>
          <w:lang w:eastAsia="pt-BR"/>
        </w:rPr>
        <w:t>Trata-se de mandado de segurança que tinha por objetivo impedir a aprovação da repactuação.</w:t>
      </w:r>
    </w:p>
    <w:p w14:paraId="524E8FA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2AE9399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no TRF aguardando julgamento do recurso interposto pelas autoras.</w:t>
      </w:r>
    </w:p>
    <w:p w14:paraId="5053BD88" w14:textId="77777777" w:rsidR="008B0D5B" w:rsidRPr="008B0D5B" w:rsidRDefault="008B0D5B" w:rsidP="008B0D5B">
      <w:pPr>
        <w:spacing w:before="0" w:after="0" w:line="360" w:lineRule="auto"/>
        <w:ind w:left="1134"/>
        <w:contextualSpacing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379AFC86" w14:textId="77777777" w:rsidR="007D7690" w:rsidRPr="007D7690" w:rsidRDefault="008B0D5B" w:rsidP="007B6B95">
      <w:pPr>
        <w:pStyle w:val="PargrafodaLista"/>
        <w:numPr>
          <w:ilvl w:val="0"/>
          <w:numId w:val="5"/>
        </w:numPr>
        <w:suppressAutoHyphens w:val="0"/>
        <w:autoSpaceDN/>
        <w:spacing w:before="0" w:after="0" w:line="360" w:lineRule="auto"/>
        <w:contextualSpacing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Promovido pelo falecido Castagna Maia</w:t>
      </w:r>
      <w:r w:rsidR="007D7690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.</w:t>
      </w:r>
    </w:p>
    <w:p w14:paraId="4FD66CA8" w14:textId="77777777" w:rsidR="008B0D5B" w:rsidRPr="007D7690" w:rsidRDefault="008B0D5B" w:rsidP="007D7690">
      <w:pPr>
        <w:suppressAutoHyphens w:val="0"/>
        <w:autoSpaceDN/>
        <w:spacing w:before="0" w:after="0" w:line="360" w:lineRule="auto"/>
        <w:ind w:left="1134"/>
        <w:contextualSpacing/>
        <w:textAlignment w:val="auto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7D7690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Partes: </w:t>
      </w:r>
      <w:r w:rsidRPr="007D7690">
        <w:rPr>
          <w:rFonts w:asciiTheme="minorHAnsi" w:hAnsiTheme="minorHAnsi" w:cstheme="minorHAnsi"/>
          <w:sz w:val="26"/>
          <w:szCs w:val="26"/>
          <w:lang w:eastAsia="pt-BR"/>
        </w:rPr>
        <w:t xml:space="preserve">recorrente APAPE </w:t>
      </w:r>
    </w:p>
    <w:p w14:paraId="701349E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Mandado de Segurança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-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Suspender qualquer apreciação sobre proposta de retirada de patrocínio do Plano Petros Copesul.</w:t>
      </w:r>
    </w:p>
    <w:p w14:paraId="2F076A8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4A8E92B0" w14:textId="77777777" w:rsidR="008B0D5B" w:rsidRPr="001E1A74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color w:val="FF0000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1E1A74" w:rsidRPr="001E1A74">
        <w:rPr>
          <w:rFonts w:asciiTheme="minorHAnsi" w:hAnsiTheme="minorHAnsi" w:cstheme="minorHAnsi"/>
          <w:b/>
          <w:color w:val="FF0000"/>
          <w:sz w:val="26"/>
          <w:szCs w:val="26"/>
          <w:lang w:eastAsia="pt-BR"/>
        </w:rPr>
        <w:t>Recurso provido para anular a sentença proferida na origem. Autos baixados para julgamento.</w:t>
      </w:r>
    </w:p>
    <w:p w14:paraId="5A9E3504" w14:textId="77777777" w:rsidR="007B6B95" w:rsidRPr="008B0D5B" w:rsidRDefault="007B6B95" w:rsidP="008B0D5B">
      <w:pPr>
        <w:spacing w:before="0" w:after="0" w:line="360" w:lineRule="auto"/>
        <w:ind w:left="1134"/>
        <w:contextualSpacing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0264B472" w14:textId="77777777" w:rsidR="007D7690" w:rsidRDefault="008B0D5B" w:rsidP="007B6B95">
      <w:pPr>
        <w:pStyle w:val="PargrafodaLista"/>
        <w:numPr>
          <w:ilvl w:val="0"/>
          <w:numId w:val="5"/>
        </w:numPr>
        <w:suppressAutoHyphens w:val="0"/>
        <w:autoSpaceDN/>
        <w:spacing w:before="0" w:after="0" w:line="360" w:lineRule="auto"/>
        <w:contextualSpacing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7B6B95">
        <w:rPr>
          <w:rFonts w:asciiTheme="minorHAnsi" w:hAnsiTheme="minorHAnsi" w:cstheme="minorHAnsi"/>
          <w:b/>
          <w:sz w:val="26"/>
          <w:szCs w:val="26"/>
          <w:lang w:eastAsia="pt-BR"/>
        </w:rPr>
        <w:t>Promovido pelo falecido Castagna Maia</w:t>
      </w:r>
      <w:r w:rsidR="007D7690">
        <w:rPr>
          <w:rFonts w:asciiTheme="minorHAnsi" w:hAnsiTheme="minorHAnsi" w:cstheme="minorHAnsi"/>
          <w:b/>
          <w:sz w:val="26"/>
          <w:szCs w:val="26"/>
          <w:lang w:eastAsia="pt-BR"/>
        </w:rPr>
        <w:t>.</w:t>
      </w:r>
    </w:p>
    <w:p w14:paraId="6C6B32A8" w14:textId="77777777" w:rsidR="008B0D5B" w:rsidRPr="007D7690" w:rsidRDefault="008B0D5B" w:rsidP="007D7690">
      <w:pPr>
        <w:suppressAutoHyphens w:val="0"/>
        <w:autoSpaceDN/>
        <w:spacing w:before="0" w:after="0" w:line="360" w:lineRule="auto"/>
        <w:ind w:left="1134"/>
        <w:contextualSpacing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7D7690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Partes</w:t>
      </w:r>
      <w:r w:rsidRPr="007D7690">
        <w:rPr>
          <w:rFonts w:asciiTheme="minorHAnsi" w:hAnsiTheme="minorHAnsi" w:cstheme="minorHAnsi"/>
          <w:sz w:val="26"/>
          <w:szCs w:val="26"/>
          <w:lang w:eastAsia="pt-BR"/>
        </w:rPr>
        <w:t>: recorrentes FENASPE e S</w:t>
      </w:r>
      <w:r w:rsidR="007D7690" w:rsidRPr="007D7690">
        <w:rPr>
          <w:rFonts w:asciiTheme="minorHAnsi" w:hAnsiTheme="minorHAnsi" w:cstheme="minorHAnsi"/>
          <w:sz w:val="26"/>
          <w:szCs w:val="26"/>
          <w:lang w:eastAsia="pt-BR"/>
        </w:rPr>
        <w:t>indipetro</w:t>
      </w:r>
      <w:r w:rsidRPr="007D7690">
        <w:rPr>
          <w:rFonts w:asciiTheme="minorHAnsi" w:hAnsiTheme="minorHAnsi" w:cstheme="minorHAnsi"/>
          <w:sz w:val="26"/>
          <w:szCs w:val="26"/>
          <w:lang w:eastAsia="pt-BR"/>
        </w:rPr>
        <w:t xml:space="preserve"> RJ</w:t>
      </w:r>
    </w:p>
    <w:p w14:paraId="67834E8B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Mandado de Segurança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- Sustar a Portaria Nº644 de 24-08-2010 Publicada no DOU em 26-08-2010 do Diretor de Análise Técnica da PREVIC que homologou alteração de RPB PPSP que possibilitou a implementação do BPO.</w:t>
      </w:r>
    </w:p>
    <w:p w14:paraId="33691079" w14:textId="77777777" w:rsidR="008B0D5B" w:rsidRP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60A9D3F6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Processo no TRF aguardando julgamento do recurso interposto pelas autoras.</w:t>
      </w:r>
    </w:p>
    <w:p w14:paraId="6E3574AF" w14:textId="77777777" w:rsidR="008B0D5B" w:rsidRPr="008B0D5B" w:rsidRDefault="008B0D5B" w:rsidP="008B0D5B">
      <w:pPr>
        <w:spacing w:before="0" w:after="0" w:line="360" w:lineRule="auto"/>
        <w:ind w:left="5"/>
        <w:contextualSpacing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13CA4222" w14:textId="77777777" w:rsidR="008B0D5B" w:rsidRPr="008B0D5B" w:rsidRDefault="008B0D5B" w:rsidP="008B0D5B">
      <w:pPr>
        <w:pStyle w:val="PargrafodaLista"/>
        <w:numPr>
          <w:ilvl w:val="0"/>
          <w:numId w:val="6"/>
        </w:numPr>
        <w:suppressAutoHyphens w:val="0"/>
        <w:autoSpaceDN/>
        <w:spacing w:before="0" w:after="0" w:line="360" w:lineRule="auto"/>
        <w:contextualSpacing/>
        <w:textAlignment w:val="auto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Partes: </w:t>
      </w:r>
      <w:r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FENASPE </w:t>
      </w:r>
      <w:r w:rsidR="007D7690">
        <w:rPr>
          <w:rFonts w:asciiTheme="minorHAnsi" w:hAnsiTheme="minorHAnsi" w:cstheme="minorHAnsi"/>
          <w:bCs/>
          <w:sz w:val="26"/>
          <w:szCs w:val="26"/>
          <w:lang w:eastAsia="pt-BR"/>
        </w:rPr>
        <w:t>e</w:t>
      </w:r>
      <w:r w:rsidR="00932D99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</w:t>
      </w:r>
      <w:r w:rsidR="007D7690">
        <w:rPr>
          <w:rFonts w:asciiTheme="minorHAnsi" w:hAnsiTheme="minorHAnsi" w:cstheme="minorHAnsi"/>
          <w:bCs/>
          <w:sz w:val="26"/>
          <w:szCs w:val="26"/>
          <w:lang w:eastAsia="pt-BR"/>
        </w:rPr>
        <w:t>Filiadas</w:t>
      </w:r>
    </w:p>
    <w:p w14:paraId="5157BCD6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OBJETO: </w:t>
      </w:r>
      <w:r w:rsidR="007D7690">
        <w:rPr>
          <w:rFonts w:asciiTheme="minorHAnsi" w:hAnsiTheme="minorHAnsi" w:cstheme="minorHAnsi"/>
          <w:b/>
          <w:sz w:val="26"/>
          <w:szCs w:val="26"/>
          <w:lang w:eastAsia="pt-BR"/>
        </w:rPr>
        <w:t>M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andado de </w:t>
      </w:r>
      <w:r w:rsidR="007D7690">
        <w:rPr>
          <w:rFonts w:asciiTheme="minorHAnsi" w:hAnsiTheme="minorHAnsi" w:cstheme="minorHAnsi"/>
          <w:b/>
          <w:sz w:val="26"/>
          <w:szCs w:val="26"/>
          <w:lang w:eastAsia="pt-BR"/>
        </w:rPr>
        <w:t>S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egurança </w:t>
      </w:r>
      <w:r w:rsidR="007D7690"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para declarar nulas as </w:t>
      </w:r>
      <w:r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>P</w:t>
      </w:r>
      <w:r w:rsidR="007D7690"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>ortarias</w:t>
      </w:r>
      <w:r w:rsidR="00932D99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</w:t>
      </w:r>
      <w:r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>PREVIC 341 E 342 DE 2020</w:t>
      </w:r>
      <w:r w:rsidR="00932D99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 </w:t>
      </w:r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que autorizaram a exclusão do artigo 48, </w:t>
      </w:r>
      <w:proofErr w:type="spellStart"/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ix</w:t>
      </w:r>
      <w:proofErr w:type="spellEnd"/>
      <w:r w:rsidR="007D7690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do regulamento da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PETROS.</w:t>
      </w:r>
    </w:p>
    <w:p w14:paraId="2DF43735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0CF6C173" w14:textId="77777777" w:rsidR="000C1963" w:rsidRPr="000C1963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u w:val="single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5D3254" w:rsidRPr="005D3254">
        <w:rPr>
          <w:rFonts w:asciiTheme="minorHAnsi" w:hAnsiTheme="minorHAnsi" w:cstheme="minorHAnsi"/>
          <w:sz w:val="26"/>
          <w:szCs w:val="26"/>
          <w:lang w:eastAsia="pt-BR"/>
        </w:rPr>
        <w:t>Denegada a segurança. Aguarda julgamento da apelação.</w:t>
      </w:r>
    </w:p>
    <w:p w14:paraId="71682068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42B0287F" w14:textId="77777777" w:rsidR="008B0D5B" w:rsidRPr="007D7690" w:rsidRDefault="008B0D5B" w:rsidP="008B0D5B">
      <w:pPr>
        <w:pStyle w:val="PargrafodaLista"/>
        <w:numPr>
          <w:ilvl w:val="0"/>
          <w:numId w:val="6"/>
        </w:numPr>
        <w:suppressAutoHyphens w:val="0"/>
        <w:autoSpaceDN/>
        <w:spacing w:before="0" w:after="0" w:line="360" w:lineRule="auto"/>
        <w:contextualSpacing/>
        <w:textAlignment w:val="auto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Partes: </w:t>
      </w:r>
      <w:r w:rsidRPr="007D7690">
        <w:rPr>
          <w:rFonts w:asciiTheme="minorHAnsi" w:hAnsiTheme="minorHAnsi" w:cstheme="minorHAnsi"/>
          <w:bCs/>
          <w:sz w:val="26"/>
          <w:szCs w:val="26"/>
          <w:lang w:eastAsia="pt-BR"/>
        </w:rPr>
        <w:t xml:space="preserve">FENASPE </w:t>
      </w:r>
      <w:r w:rsidR="007D7690">
        <w:rPr>
          <w:rFonts w:asciiTheme="minorHAnsi" w:hAnsiTheme="minorHAnsi" w:cstheme="minorHAnsi"/>
          <w:bCs/>
          <w:sz w:val="26"/>
          <w:szCs w:val="26"/>
          <w:lang w:eastAsia="pt-BR"/>
        </w:rPr>
        <w:t>e Filiadas</w:t>
      </w:r>
    </w:p>
    <w:p w14:paraId="7B0E6D92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OBJETO: 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>M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andado de 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>S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egurança preventivo visando sustar o processo de cisão de massas da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V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ibra Energia 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S.A</w:t>
      </w:r>
      <w:r w:rsidR="00932D99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>nos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P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lano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>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P</w:t>
      </w:r>
      <w:r w:rsidR="001B667F" w:rsidRPr="001B667F">
        <w:rPr>
          <w:rFonts w:asciiTheme="minorHAnsi" w:hAnsiTheme="minorHAnsi" w:cstheme="minorHAnsi"/>
          <w:b/>
          <w:sz w:val="26"/>
          <w:szCs w:val="26"/>
          <w:lang w:eastAsia="pt-BR"/>
        </w:rPr>
        <w:t>etros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do Sistema Petrobras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.</w:t>
      </w:r>
    </w:p>
    <w:p w14:paraId="738E6748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391D2F11" w14:textId="77777777" w:rsidR="008B0D5B" w:rsidRPr="00940EA9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color w:val="FF0000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="00932D99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D034E5" w:rsidRPr="001E1A74">
        <w:rPr>
          <w:rFonts w:asciiTheme="minorHAnsi" w:hAnsiTheme="minorHAnsi" w:cstheme="minorHAnsi"/>
          <w:sz w:val="26"/>
          <w:szCs w:val="26"/>
          <w:lang w:eastAsia="pt-BR"/>
        </w:rPr>
        <w:t xml:space="preserve">Negada a segurança. </w:t>
      </w:r>
      <w:r w:rsidR="001B0D7D" w:rsidRPr="001E1A74">
        <w:rPr>
          <w:rFonts w:asciiTheme="minorHAnsi" w:hAnsiTheme="minorHAnsi" w:cstheme="minorHAnsi"/>
          <w:sz w:val="26"/>
          <w:szCs w:val="26"/>
          <w:lang w:eastAsia="pt-BR"/>
        </w:rPr>
        <w:t>Aguarda julgamento do recurso no TRF.</w:t>
      </w:r>
    </w:p>
    <w:p w14:paraId="2FA3670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2AB47F2A" w14:textId="77777777" w:rsidR="008B0D5B" w:rsidRPr="001B667F" w:rsidRDefault="008B0D5B" w:rsidP="008B0D5B">
      <w:pPr>
        <w:pStyle w:val="PargrafodaLista"/>
        <w:numPr>
          <w:ilvl w:val="0"/>
          <w:numId w:val="6"/>
        </w:numPr>
        <w:suppressAutoHyphens w:val="0"/>
        <w:autoSpaceDN/>
        <w:spacing w:before="0" w:after="0" w:line="360" w:lineRule="auto"/>
        <w:contextualSpacing/>
        <w:textAlignment w:val="auto"/>
        <w:rPr>
          <w:rFonts w:asciiTheme="minorHAnsi" w:hAnsiTheme="minorHAnsi" w:cstheme="minorHAnsi"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Partes: </w:t>
      </w:r>
      <w:r w:rsidRPr="001B667F">
        <w:rPr>
          <w:rFonts w:asciiTheme="minorHAnsi" w:hAnsiTheme="minorHAnsi" w:cstheme="minorHAnsi"/>
          <w:bCs/>
          <w:sz w:val="26"/>
          <w:szCs w:val="26"/>
          <w:lang w:eastAsia="pt-BR"/>
        </w:rPr>
        <w:t>APAPE</w:t>
      </w:r>
    </w:p>
    <w:p w14:paraId="697F3F4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OBJETO: R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eajustes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H</w:t>
      </w:r>
      <w:r w:rsidR="001B667F"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ipersuficientes</w:t>
      </w:r>
      <w:r w:rsidR="001B667F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NR - </w:t>
      </w: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VIBRA</w:t>
      </w:r>
    </w:p>
    <w:p w14:paraId="51AA8803" w14:textId="77777777" w:rsidR="008B0D5B" w:rsidRDefault="008B0D5B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Previdenciário.</w:t>
      </w:r>
    </w:p>
    <w:p w14:paraId="1630CE68" w14:textId="77777777" w:rsidR="007B6B95" w:rsidRPr="007B6B95" w:rsidRDefault="007B6B95" w:rsidP="007B6B95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696B3429" w14:textId="77777777" w:rsidR="008B0D5B" w:rsidRPr="001E1A74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i/>
          <w:color w:val="FF0000"/>
          <w:sz w:val="26"/>
          <w:szCs w:val="26"/>
          <w:u w:val="single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Situação: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5D3254" w:rsidRPr="001E1A74">
        <w:rPr>
          <w:rFonts w:asciiTheme="minorHAnsi" w:hAnsiTheme="minorHAnsi" w:cstheme="minorHAnsi"/>
          <w:b/>
          <w:color w:val="FF0000"/>
          <w:sz w:val="26"/>
          <w:szCs w:val="26"/>
          <w:u w:val="single"/>
          <w:lang w:eastAsia="pt-BR"/>
        </w:rPr>
        <w:t xml:space="preserve">Apresentamos réplica. </w:t>
      </w:r>
      <w:r w:rsidR="001E1A74" w:rsidRPr="001E1A74">
        <w:rPr>
          <w:rFonts w:asciiTheme="minorHAnsi" w:hAnsiTheme="minorHAnsi" w:cstheme="minorHAnsi"/>
          <w:b/>
          <w:color w:val="FF0000"/>
          <w:sz w:val="26"/>
          <w:szCs w:val="26"/>
          <w:u w:val="single"/>
          <w:lang w:eastAsia="pt-BR"/>
        </w:rPr>
        <w:t>Aguarda elaboração do laudo pericial.</w:t>
      </w:r>
    </w:p>
    <w:p w14:paraId="50BCF491" w14:textId="77777777" w:rsidR="008B0D5B" w:rsidRPr="008B0D5B" w:rsidRDefault="008B0D5B" w:rsidP="007B6B95">
      <w:pPr>
        <w:spacing w:before="0" w:after="0" w:line="360" w:lineRule="auto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7BFF3930" w14:textId="77777777" w:rsidR="008B0D5B" w:rsidRPr="008B0D5B" w:rsidRDefault="008B0D5B" w:rsidP="008B0D5B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V – AÇÕES EMPRESARIAIS</w:t>
      </w:r>
    </w:p>
    <w:p w14:paraId="0941D077" w14:textId="77777777" w:rsidR="008B0D5B" w:rsidRPr="008B0D5B" w:rsidRDefault="008B0D5B" w:rsidP="008B0D5B">
      <w:pPr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sz w:val="26"/>
          <w:szCs w:val="26"/>
          <w:lang w:eastAsia="pt-BR"/>
        </w:rPr>
      </w:pPr>
    </w:p>
    <w:p w14:paraId="3CE7199B" w14:textId="77777777" w:rsidR="008B0D5B" w:rsidRPr="008B0D5B" w:rsidRDefault="008B0D5B" w:rsidP="008B0D5B">
      <w:pPr>
        <w:spacing w:before="0" w:after="0" w:line="360" w:lineRule="auto"/>
        <w:ind w:left="426" w:firstLine="708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1. Partes: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APAPE x PETROS </w:t>
      </w:r>
    </w:p>
    <w:p w14:paraId="08CE27E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Objeto: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 Ação Civil Pública ajuizada em face da Petros e seus dirigentes para darem cumprimento à alteração estatutária aprovada pela ata 443 no sentido da realização de eleição direta para os cargos da Diretoria Executiva de modo a assegurar a efetiva participação dos participantes e assistidos nas instâncias decisórias da entidade.</w:t>
      </w:r>
    </w:p>
    <w:p w14:paraId="67DC8AAC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sz w:val="26"/>
          <w:szCs w:val="26"/>
          <w:lang w:eastAsia="pt-BR"/>
        </w:rPr>
        <w:t>Tipo e Grupo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: Contencioso/ Empresarial.</w:t>
      </w:r>
    </w:p>
    <w:p w14:paraId="12C0E192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lang w:eastAsia="pt-BR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lang w:eastAsia="pt-BR"/>
        </w:rPr>
        <w:lastRenderedPageBreak/>
        <w:t xml:space="preserve">Situação: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 xml:space="preserve">Processo em primeira instância no TJRJ </w:t>
      </w:r>
      <w:r w:rsidR="00D034E5">
        <w:rPr>
          <w:rFonts w:asciiTheme="minorHAnsi" w:hAnsiTheme="minorHAnsi" w:cstheme="minorHAnsi"/>
          <w:sz w:val="26"/>
          <w:szCs w:val="26"/>
          <w:lang w:eastAsia="pt-BR"/>
        </w:rPr>
        <w:t xml:space="preserve">aguardando </w:t>
      </w:r>
      <w:r w:rsidRPr="008B0D5B">
        <w:rPr>
          <w:rFonts w:asciiTheme="minorHAnsi" w:hAnsiTheme="minorHAnsi" w:cstheme="minorHAnsi"/>
          <w:sz w:val="26"/>
          <w:szCs w:val="26"/>
          <w:lang w:eastAsia="pt-BR"/>
        </w:rPr>
        <w:t>julgamento do mérito.</w:t>
      </w:r>
      <w:r w:rsidR="001E1A74">
        <w:rPr>
          <w:rFonts w:asciiTheme="minorHAnsi" w:hAnsiTheme="minorHAnsi" w:cstheme="minorHAnsi"/>
          <w:sz w:val="26"/>
          <w:szCs w:val="26"/>
          <w:lang w:eastAsia="pt-BR"/>
        </w:rPr>
        <w:t xml:space="preserve"> Em tempo: </w:t>
      </w:r>
      <w:r w:rsidR="001E1A74" w:rsidRPr="001E1A74">
        <w:rPr>
          <w:rFonts w:asciiTheme="minorHAnsi" w:hAnsiTheme="minorHAnsi" w:cstheme="minorHAnsi"/>
          <w:b/>
          <w:color w:val="FF0000"/>
          <w:sz w:val="26"/>
          <w:szCs w:val="26"/>
          <w:u w:val="single"/>
          <w:lang w:eastAsia="pt-BR"/>
        </w:rPr>
        <w:t>Aguarda julgamento do recurso da Petros contra a decisão que indeferiu a remessa dos autos à 18 Vara Cível.</w:t>
      </w:r>
    </w:p>
    <w:p w14:paraId="0C9A65E6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</w:t>
      </w:r>
      <w:r w:rsidR="007B6B95">
        <w:rPr>
          <w:rFonts w:asciiTheme="minorHAnsi" w:hAnsiTheme="minorHAnsi" w:cstheme="minorHAnsi"/>
          <w:b/>
          <w:bCs/>
          <w:sz w:val="26"/>
          <w:szCs w:val="26"/>
        </w:rPr>
        <w:t>_______________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_____________________________________________________</w:t>
      </w:r>
    </w:p>
    <w:p w14:paraId="1A43E373" w14:textId="77777777" w:rsidR="008B0D5B" w:rsidRPr="008B0D5B" w:rsidRDefault="008B0D5B" w:rsidP="008B0D5B">
      <w:pPr>
        <w:pStyle w:val="NormalWeb"/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GLOSSÁRIO</w:t>
      </w:r>
    </w:p>
    <w:p w14:paraId="397983C7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</w:t>
      </w:r>
      <w:r w:rsidR="007B6B95">
        <w:rPr>
          <w:rFonts w:asciiTheme="minorHAnsi" w:hAnsiTheme="minorHAnsi" w:cstheme="minorHAnsi"/>
          <w:b/>
          <w:bCs/>
          <w:sz w:val="26"/>
          <w:szCs w:val="26"/>
        </w:rPr>
        <w:t>_______________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</w:t>
      </w:r>
    </w:p>
    <w:p w14:paraId="05C12A56" w14:textId="77777777" w:rsidR="008B0D5B" w:rsidRPr="008B0D5B" w:rsidRDefault="008B0D5B" w:rsidP="008B0D5B">
      <w:pPr>
        <w:pStyle w:val="NormalWeb"/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E81CBD4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SLS 2507 – Suspensão de Liminar de Sentença.</w:t>
      </w:r>
    </w:p>
    <w:p w14:paraId="347572C3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</w:rPr>
        <w:t>É o</w:t>
      </w:r>
      <w:r w:rsidR="00932D99">
        <w:rPr>
          <w:rFonts w:asciiTheme="minorHAnsi" w:hAnsiTheme="minorHAnsi" w:cstheme="minorHAnsi"/>
          <w:sz w:val="26"/>
          <w:szCs w:val="26"/>
        </w:rPr>
        <w:t xml:space="preserve"> </w:t>
      </w:r>
      <w:r w:rsidRPr="008B0D5B">
        <w:rPr>
          <w:rFonts w:asciiTheme="minorHAnsi" w:hAnsiTheme="minorHAnsi" w:cstheme="minorHAnsi"/>
          <w:sz w:val="26"/>
          <w:szCs w:val="26"/>
        </w:rPr>
        <w:t xml:space="preserve">Incidente no qual foi proferida a decisão do Presidente do STJ que suspendeu temporariamente os efeitos da Tutela de Urgência (liminar) que havia sido obtida pela FENASPE e demais associações autoras, no processo referente ao PED – 2015/18. </w:t>
      </w:r>
    </w:p>
    <w:p w14:paraId="18C06827" w14:textId="77777777" w:rsidR="008B0D5B" w:rsidRPr="008B0D5B" w:rsidRDefault="008B0D5B" w:rsidP="008B0D5B">
      <w:pPr>
        <w:pStyle w:val="Ttulo1"/>
        <w:shd w:val="clear" w:color="auto" w:fill="FFFFFF"/>
        <w:spacing w:line="360" w:lineRule="auto"/>
        <w:ind w:left="1134"/>
        <w:jc w:val="both"/>
        <w:rPr>
          <w:rFonts w:asciiTheme="minorHAnsi" w:hAnsiTheme="minorHAnsi" w:cstheme="minorHAnsi"/>
          <w:sz w:val="26"/>
          <w:szCs w:val="26"/>
        </w:rPr>
      </w:pPr>
    </w:p>
    <w:p w14:paraId="28685452" w14:textId="77777777" w:rsidR="007B6B95" w:rsidRDefault="008B0D5B" w:rsidP="007B6B95">
      <w:pPr>
        <w:pStyle w:val="Ttulo1"/>
        <w:shd w:val="clear" w:color="auto" w:fill="FFFFFF"/>
        <w:spacing w:line="360" w:lineRule="auto"/>
        <w:ind w:left="1134"/>
        <w:jc w:val="both"/>
        <w:rPr>
          <w:rFonts w:asciiTheme="minorHAnsi" w:hAnsiTheme="minorHAnsi" w:cstheme="minorHAnsi"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</w:rPr>
        <w:t>IRDR – Incidente de Resolução de Demandas Repetitivas.</w:t>
      </w:r>
    </w:p>
    <w:p w14:paraId="45779173" w14:textId="77777777" w:rsidR="008B0D5B" w:rsidRPr="007B6B95" w:rsidRDefault="008B0D5B" w:rsidP="007B6B95">
      <w:pPr>
        <w:pStyle w:val="Ttulo1"/>
        <w:shd w:val="clear" w:color="auto" w:fill="FFFFFF"/>
        <w:spacing w:line="360" w:lineRule="auto"/>
        <w:ind w:left="1134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7B6B95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Processo estabelecido em um Tribunal, visando decisão comum dos desembargadores para diversas demandas, de mesmo objeto e formas, objetos de recursos, em processos com decisões de juízo de primeiro grau.   </w:t>
      </w:r>
    </w:p>
    <w:p w14:paraId="1713C372" w14:textId="77777777" w:rsidR="008B0D5B" w:rsidRPr="007B6B95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</w:p>
    <w:p w14:paraId="6C3D97A5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ARE – Agravo em Recurso Extraordinário.</w:t>
      </w:r>
    </w:p>
    <w:p w14:paraId="11EF8DB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  <w:shd w:val="clear" w:color="auto" w:fill="FFFFFF"/>
        </w:rPr>
        <w:t>É</w:t>
      </w:r>
      <w:r w:rsidRPr="008B0D5B">
        <w:rPr>
          <w:rFonts w:asciiTheme="minorHAnsi" w:hAnsiTheme="minorHAnsi" w:cstheme="minorHAnsi"/>
          <w:sz w:val="26"/>
          <w:szCs w:val="26"/>
        </w:rPr>
        <w:t xml:space="preserve"> o recurso cabível contra a decisão que inadmite o recurso extraordinário. </w:t>
      </w:r>
    </w:p>
    <w:p w14:paraId="2E1CEAE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</w:p>
    <w:p w14:paraId="266D04C0" w14:textId="77777777" w:rsidR="008B0D5B" w:rsidRPr="008B0D5B" w:rsidRDefault="008B0D5B" w:rsidP="008B0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Agravo Recurso Especial</w:t>
      </w:r>
    </w:p>
    <w:p w14:paraId="3F5C0940" w14:textId="77777777" w:rsidR="008B0D5B" w:rsidRPr="008B0D5B" w:rsidRDefault="008B0D5B" w:rsidP="008B0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É</w:t>
      </w:r>
      <w:r w:rsidRPr="008B0D5B">
        <w:rPr>
          <w:rFonts w:asciiTheme="minorHAnsi" w:hAnsiTheme="minorHAnsi" w:cstheme="minorHAnsi"/>
          <w:sz w:val="26"/>
          <w:szCs w:val="26"/>
        </w:rPr>
        <w:t xml:space="preserve"> o instrumento jurídico usado quando alguém não concorda com uma decisão de um tribunal estadual ou federal e deseja levar o caso ao Superior Tribunal de Justiça (STJ). Através deste recurso se busca garantir a uniformidade da interpretação das leis federais em todo o país.</w:t>
      </w:r>
    </w:p>
    <w:p w14:paraId="48DBAB60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  <w:shd w:val="clear" w:color="auto" w:fill="FAFAFA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  <w:shd w:val="clear" w:color="auto" w:fill="FAFAFA"/>
        </w:rPr>
        <w:t>Embargos de Declaração.</w:t>
      </w:r>
    </w:p>
    <w:p w14:paraId="2E4A5486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  <w:shd w:val="clear" w:color="auto" w:fill="FAFAFA"/>
        </w:rPr>
        <w:t>São, também</w:t>
      </w:r>
      <w:r w:rsidRPr="008B0D5B">
        <w:rPr>
          <w:rFonts w:asciiTheme="minorHAnsi" w:hAnsiTheme="minorHAnsi" w:cstheme="minorHAnsi"/>
          <w:b/>
          <w:bCs/>
          <w:sz w:val="26"/>
          <w:szCs w:val="26"/>
          <w:shd w:val="clear" w:color="auto" w:fill="FAFAFA"/>
        </w:rPr>
        <w:t>,</w:t>
      </w:r>
      <w:r w:rsidRPr="008B0D5B">
        <w:rPr>
          <w:rFonts w:asciiTheme="minorHAnsi" w:hAnsiTheme="minorHAnsi" w:cstheme="minorHAnsi"/>
          <w:sz w:val="26"/>
          <w:szCs w:val="26"/>
          <w:shd w:val="clear" w:color="auto" w:fill="FAFAFA"/>
        </w:rPr>
        <w:t xml:space="preserve"> chamados de Embargos Declaratórios, são uma espécie de recurso com a </w:t>
      </w:r>
      <w:r w:rsidRPr="008B0D5B">
        <w:rPr>
          <w:rFonts w:asciiTheme="minorHAnsi" w:hAnsiTheme="minorHAnsi" w:cstheme="minorHAnsi"/>
          <w:sz w:val="26"/>
          <w:szCs w:val="26"/>
          <w:shd w:val="clear" w:color="auto" w:fill="FAFAFA"/>
        </w:rPr>
        <w:lastRenderedPageBreak/>
        <w:t>finalidade específica de esclarecer obscuridade ou omissão ocorrida em decisão proferida por juiz ou por órgão colegiado.</w:t>
      </w:r>
    </w:p>
    <w:p w14:paraId="74995991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</w:p>
    <w:p w14:paraId="3A0DF50E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ADI - Ação Direta de Inconstitucionalidade.</w:t>
      </w:r>
    </w:p>
    <w:p w14:paraId="447EEAC9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</w:rPr>
        <w:t>É a ação que tem por finalidade declarar que uma lei ou parte dela é inconstitucional, ou seja, contraria a Constituição Federal.</w:t>
      </w:r>
    </w:p>
    <w:p w14:paraId="5401EC8C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</w:rPr>
      </w:pPr>
    </w:p>
    <w:p w14:paraId="68DC944B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Recurso de Revista</w:t>
      </w:r>
      <w:r w:rsidRPr="008B0D5B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14:paraId="7131EE7D" w14:textId="77777777" w:rsidR="008B0D5B" w:rsidRPr="008B0D5B" w:rsidRDefault="008B0D5B" w:rsidP="008B0D5B">
      <w:pPr>
        <w:spacing w:before="0" w:after="0" w:line="360" w:lineRule="auto"/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sz w:val="26"/>
          <w:szCs w:val="26"/>
          <w:shd w:val="clear" w:color="auto" w:fill="FFFFFF"/>
        </w:rPr>
        <w:t>É o recurso pelo qual o Tribunal Superior do Trabalho - TST cumpre seu papel primordial de uniformizar a jurisprudência pátria no âmbito trabalhista, bem como de restabelecer a norma nacional (legislação federal) violada.</w:t>
      </w:r>
    </w:p>
    <w:p w14:paraId="23972B2C" w14:textId="77777777" w:rsidR="007C5FE4" w:rsidRPr="008B0D5B" w:rsidRDefault="00AB016F" w:rsidP="007B6B95">
      <w:pPr>
        <w:pStyle w:val="NormalWeb"/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________________________________________________________</w:t>
      </w:r>
      <w:r w:rsidR="007B6B95">
        <w:rPr>
          <w:rFonts w:asciiTheme="minorHAnsi" w:hAnsiTheme="minorHAnsi" w:cstheme="minorHAnsi"/>
          <w:b/>
          <w:bCs/>
          <w:sz w:val="26"/>
          <w:szCs w:val="26"/>
        </w:rPr>
        <w:t>_____</w:t>
      </w:r>
      <w:r w:rsidRPr="008B0D5B">
        <w:rPr>
          <w:rFonts w:asciiTheme="minorHAnsi" w:hAnsiTheme="minorHAnsi" w:cstheme="minorHAnsi"/>
          <w:b/>
          <w:bCs/>
          <w:sz w:val="26"/>
          <w:szCs w:val="26"/>
        </w:rPr>
        <w:t>_______________</w:t>
      </w:r>
    </w:p>
    <w:p w14:paraId="795FF0E7" w14:textId="77777777" w:rsidR="00895918" w:rsidRPr="008B0D5B" w:rsidRDefault="00895918" w:rsidP="002A1B9E">
      <w:pPr>
        <w:pStyle w:val="NormalWeb"/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DIRETORIA DA FENASPE</w:t>
      </w:r>
    </w:p>
    <w:p w14:paraId="70A9B76A" w14:textId="77777777" w:rsidR="00895918" w:rsidRPr="008B0D5B" w:rsidRDefault="00895918" w:rsidP="008C360B">
      <w:pPr>
        <w:pStyle w:val="NormalWeb"/>
        <w:spacing w:before="0" w:after="0" w:line="360" w:lineRule="auto"/>
        <w:ind w:left="1134"/>
        <w:jc w:val="center"/>
        <w:rPr>
          <w:rFonts w:asciiTheme="minorHAnsi" w:hAnsiTheme="minorHAnsi" w:cstheme="minorHAnsi"/>
          <w:b/>
          <w:bCs/>
          <w:sz w:val="26"/>
          <w:szCs w:val="26"/>
          <w:lang w:val="pt-PT"/>
        </w:rPr>
      </w:pPr>
      <w:r w:rsidRPr="008B0D5B">
        <w:rPr>
          <w:rFonts w:asciiTheme="minorHAnsi" w:hAnsiTheme="minorHAnsi" w:cstheme="minorHAnsi"/>
          <w:b/>
          <w:bCs/>
          <w:sz w:val="26"/>
          <w:szCs w:val="26"/>
        </w:rPr>
        <w:t>www.fenaspe.org.br</w:t>
      </w:r>
    </w:p>
    <w:sectPr w:rsidR="00895918" w:rsidRPr="008B0D5B" w:rsidSect="0044567A">
      <w:headerReference w:type="default" r:id="rId8"/>
      <w:footerReference w:type="default" r:id="rId9"/>
      <w:pgSz w:w="11907" w:h="16840" w:code="9"/>
      <w:pgMar w:top="255" w:right="845" w:bottom="-1134" w:left="0" w:header="11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E16D" w14:textId="77777777" w:rsidR="00503681" w:rsidRDefault="00503681">
      <w:pPr>
        <w:spacing w:before="0" w:after="0" w:line="240" w:lineRule="auto"/>
      </w:pPr>
      <w:r>
        <w:separator/>
      </w:r>
    </w:p>
  </w:endnote>
  <w:endnote w:type="continuationSeparator" w:id="0">
    <w:p w14:paraId="233C8624" w14:textId="77777777" w:rsidR="00503681" w:rsidRDefault="005036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155" w14:textId="77777777" w:rsidR="00B32D3A" w:rsidRDefault="00B32D3A" w:rsidP="00D607C6">
    <w:pPr>
      <w:ind w:right="843"/>
      <w:jc w:val="center"/>
    </w:pPr>
  </w:p>
  <w:p w14:paraId="4F505479" w14:textId="77777777" w:rsidR="00B32D3A" w:rsidRDefault="00B32D3A" w:rsidP="00D607C6">
    <w:pPr>
      <w:tabs>
        <w:tab w:val="left" w:pos="6270"/>
      </w:tabs>
      <w:rPr>
        <w:rFonts w:ascii="Georgia" w:hAnsi="Georgia"/>
        <w:b/>
        <w:bCs/>
      </w:rPr>
    </w:pPr>
    <w:r>
      <w:rPr>
        <w:rFonts w:ascii="Georgia" w:hAnsi="Georgia"/>
        <w:b/>
        <w:bCs/>
      </w:rPr>
      <w:tab/>
    </w:r>
  </w:p>
  <w:p w14:paraId="57C58171" w14:textId="77777777" w:rsidR="00B32D3A" w:rsidRDefault="00000000">
    <w:pPr>
      <w:ind w:left="284"/>
      <w:rPr>
        <w:rFonts w:ascii="Georgia" w:hAnsi="Georgia"/>
        <w:b/>
        <w:bCs/>
      </w:rPr>
    </w:pPr>
    <w:r>
      <w:rPr>
        <w:rFonts w:ascii="Georgia" w:hAnsi="Georgia"/>
        <w:b/>
        <w:bCs/>
        <w:noProof/>
        <w:sz w:val="20"/>
        <w:szCs w:val="20"/>
        <w:lang w:eastAsia="pt-BR"/>
      </w:rPr>
      <w:pict w14:anchorId="3EB6C691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left:0;text-align:left;margin-left:15pt;margin-top:9.25pt;width:582.6pt;height:88.5pt;z-index:251659264;visibility:visible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" filled="f" stroked="f">
          <v:textbox inset="0,0,0,0">
            <w:txbxContent>
              <w:p w14:paraId="04EC7974" w14:textId="77777777" w:rsidR="00B32D3A" w:rsidRDefault="00B32D3A" w:rsidP="00670FD3">
                <w:pPr>
                  <w:spacing w:before="100" w:beforeAutospacing="1" w:after="100" w:afterAutospacing="1" w:line="240" w:lineRule="auto"/>
                  <w:contextualSpacing/>
                  <w:jc w:val="center"/>
                  <w:rPr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/>
                    <w:sz w:val="24"/>
                    <w:szCs w:val="24"/>
                  </w:rPr>
                  <w:t>___________________________________________________________________________________________</w:t>
                </w:r>
              </w:p>
              <w:p w14:paraId="7EFC0345" w14:textId="77777777" w:rsidR="00B32D3A" w:rsidRPr="00BF0382" w:rsidRDefault="00B32D3A" w:rsidP="005145F9">
                <w:pPr>
                  <w:spacing w:before="0" w:after="0" w:line="240" w:lineRule="auto"/>
                  <w:ind w:left="993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BF0382">
                  <w:rPr>
                    <w:rFonts w:asciiTheme="minorHAnsi" w:hAnsiTheme="minorHAnsi"/>
                    <w:b/>
                    <w:bCs/>
                    <w:color w:val="000000"/>
                  </w:rPr>
                  <w:t xml:space="preserve">FENASPE </w:t>
                </w:r>
                <w:r w:rsidRPr="00BF0382">
                  <w:rPr>
                    <w:rFonts w:asciiTheme="minorHAnsi" w:hAnsiTheme="minorHAnsi"/>
                    <w:color w:val="000000"/>
                  </w:rPr>
                  <w:t xml:space="preserve">- </w:t>
                </w:r>
                <w:r w:rsidRPr="00BF0382">
                  <w:rPr>
                    <w:rFonts w:asciiTheme="minorHAnsi" w:hAnsiTheme="minorHAnsi" w:cstheme="minorHAnsi"/>
                    <w:b/>
                    <w:bCs/>
                  </w:rPr>
                  <w:t>Federação das Associações de Participantes de Fundos de Pensão, Anistiados,</w:t>
                </w:r>
              </w:p>
              <w:p w14:paraId="25166DBF" w14:textId="77777777" w:rsidR="00B32D3A" w:rsidRPr="00BF0382" w:rsidRDefault="00B32D3A" w:rsidP="005145F9">
                <w:pPr>
                  <w:spacing w:before="0" w:after="0" w:line="240" w:lineRule="auto"/>
                  <w:ind w:left="993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BF0382">
                  <w:rPr>
                    <w:rFonts w:asciiTheme="minorHAnsi" w:hAnsiTheme="minorHAnsi" w:cstheme="minorHAnsi"/>
                    <w:b/>
                    <w:bCs/>
                  </w:rPr>
                  <w:t>Empregados e Ex-empregados do Sistema Petrobras e Petros</w:t>
                </w:r>
              </w:p>
              <w:p w14:paraId="687CFFA4" w14:textId="77777777" w:rsidR="00B32D3A" w:rsidRPr="00BF0382" w:rsidRDefault="00B32D3A" w:rsidP="00670FD3">
                <w:pPr>
                  <w:spacing w:before="100" w:beforeAutospacing="1" w:after="100" w:afterAutospacing="1" w:line="240" w:lineRule="auto"/>
                  <w:contextualSpacing/>
                  <w:jc w:val="center"/>
                  <w:rPr>
                    <w:rFonts w:asciiTheme="minorHAnsi" w:hAnsiTheme="minorHAnsi"/>
                  </w:rPr>
                </w:pPr>
                <w:r w:rsidRPr="00BF0382">
                  <w:rPr>
                    <w:rFonts w:asciiTheme="minorHAnsi" w:hAnsiTheme="minorHAnsi"/>
                    <w:color w:val="000000"/>
                    <w:spacing w:val="-13"/>
                    <w:sz w:val="24"/>
                    <w:szCs w:val="24"/>
                  </w:rPr>
                  <w:t>Avenida Rio Branco, 245 - parte da sala 1205 – Centro – RJ</w:t>
                </w:r>
                <w:r w:rsidR="00932D99" w:rsidRPr="00BF0382">
                  <w:rPr>
                    <w:rFonts w:asciiTheme="minorHAnsi" w:hAnsiTheme="minorHAnsi"/>
                    <w:color w:val="000000"/>
                    <w:spacing w:val="-13"/>
                    <w:sz w:val="24"/>
                    <w:szCs w:val="24"/>
                  </w:rPr>
                  <w:t xml:space="preserve"> </w:t>
                </w:r>
                <w:r w:rsidRPr="00BF0382">
                  <w:rPr>
                    <w:rFonts w:asciiTheme="minorHAnsi" w:hAnsiTheme="minorHAnsi"/>
                    <w:color w:val="000000"/>
                    <w:spacing w:val="-13"/>
                    <w:sz w:val="24"/>
                    <w:szCs w:val="24"/>
                  </w:rPr>
                  <w:t>CEP 20.040-917</w:t>
                </w:r>
              </w:p>
              <w:p w14:paraId="1E682CD1" w14:textId="77777777" w:rsidR="00B32D3A" w:rsidRPr="00BF0382" w:rsidRDefault="00B32D3A" w:rsidP="00670FD3">
                <w:pPr>
                  <w:spacing w:before="100" w:beforeAutospacing="1" w:after="100" w:afterAutospacing="1" w:line="240" w:lineRule="auto"/>
                  <w:contextualSpacing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BF0382">
                  <w:rPr>
                    <w:rFonts w:asciiTheme="minorHAnsi" w:hAnsiTheme="minorHAnsi"/>
                    <w:b/>
                    <w:spacing w:val="-1"/>
                    <w:sz w:val="24"/>
                    <w:szCs w:val="24"/>
                    <w:lang w:val="en-US"/>
                  </w:rPr>
                  <w:t>www.fenaspe.org.br</w:t>
                </w:r>
                <w:r w:rsidRPr="00BF0382">
                  <w:rPr>
                    <w:rFonts w:asciiTheme="minorHAnsi" w:hAnsiTheme="minorHAnsi"/>
                    <w:b/>
                    <w:color w:val="0070C0"/>
                    <w:sz w:val="24"/>
                    <w:szCs w:val="24"/>
                    <w:lang w:val="en-US"/>
                  </w:rPr>
                  <w:t xml:space="preserve">- </w:t>
                </w:r>
                <w:hyperlink r:id="rId1" w:history="1">
                  <w:r w:rsidRPr="00BF0382">
                    <w:rPr>
                      <w:rFonts w:asciiTheme="minorHAnsi" w:hAnsiTheme="minorHAnsi"/>
                      <w:b/>
                      <w:sz w:val="24"/>
                      <w:szCs w:val="24"/>
                      <w:lang w:val="en-US"/>
                    </w:rPr>
                    <w:t>fenaspeadm@gmail.com</w:t>
                  </w:r>
                </w:hyperlink>
                <w:r w:rsidRPr="00BF0382">
                  <w:rPr>
                    <w:rFonts w:asciiTheme="minorHAnsi" w:hAnsiTheme="minorHAnsi"/>
                    <w:b/>
                    <w:sz w:val="24"/>
                    <w:szCs w:val="24"/>
                    <w:lang w:val="en-US"/>
                  </w:rPr>
                  <w:t xml:space="preserve">  -  WhatsApp (21) 99926-8031</w:t>
                </w:r>
              </w:p>
              <w:p w14:paraId="1D8C1988" w14:textId="77777777" w:rsidR="00B32D3A" w:rsidRDefault="00F260B4" w:rsidP="00670FD3">
                <w:pPr>
                  <w:pStyle w:val="Semlista1"/>
                  <w:widowControl w:val="0"/>
                  <w:autoSpaceDE w:val="0"/>
                  <w:spacing w:before="24" w:after="0" w:line="240" w:lineRule="auto"/>
                  <w:jc w:val="center"/>
                  <w:rPr>
                    <w:b/>
                    <w:color w:val="000000"/>
                    <w:sz w:val="26"/>
                    <w:szCs w:val="26"/>
                    <w:u w:val="single"/>
                    <w:lang w:val="pt-BR"/>
                  </w:rPr>
                </w:pPr>
                <w:r>
                  <w:fldChar w:fldCharType="begin"/>
                </w:r>
                <w:r w:rsidR="00B32D3A">
                  <w:instrText>PAGE   \* MERGEFORMAT</w:instrText>
                </w:r>
                <w:r>
                  <w:fldChar w:fldCharType="separate"/>
                </w:r>
                <w:r w:rsidR="00D65179" w:rsidRPr="00D65179">
                  <w:rPr>
                    <w:noProof/>
                    <w:lang w:val="pt-BR"/>
                  </w:rPr>
                  <w:t>1</w:t>
                </w:r>
                <w:r>
                  <w:rPr>
                    <w:noProof/>
                    <w:lang w:val="pt-BR"/>
                  </w:rPr>
                  <w:fldChar w:fldCharType="end"/>
                </w:r>
              </w:p>
            </w:txbxContent>
          </v:textbox>
          <w10:wrap type="through" anchorx="page"/>
        </v:shape>
      </w:pict>
    </w:r>
  </w:p>
  <w:p w14:paraId="4F03C3EF" w14:textId="77777777" w:rsidR="00B32D3A" w:rsidRDefault="00B32D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E5F5" w14:textId="77777777" w:rsidR="00503681" w:rsidRDefault="00503681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61396D" w14:textId="77777777" w:rsidR="00503681" w:rsidRDefault="005036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AF5B" w14:textId="77777777" w:rsidR="00B32D3A" w:rsidRDefault="00B32D3A" w:rsidP="00BE1812">
    <w:pPr>
      <w:pStyle w:val="Cabealho"/>
      <w:tabs>
        <w:tab w:val="clear" w:pos="4252"/>
        <w:tab w:val="clear" w:pos="8504"/>
      </w:tabs>
      <w:ind w:left="567" w:hanging="567"/>
    </w:pPr>
    <w:r>
      <w:rPr>
        <w:rFonts w:ascii="Georgia" w:hAnsi="Georgia"/>
        <w:b/>
        <w:bCs/>
        <w:noProof/>
        <w:lang w:eastAsia="pt-BR"/>
      </w:rPr>
      <w:drawing>
        <wp:inline distT="0" distB="0" distL="0" distR="0" wp14:anchorId="504F3A5D" wp14:editId="0A7ED4CF">
          <wp:extent cx="7542464" cy="1268236"/>
          <wp:effectExtent l="0" t="0" r="1336" b="8114"/>
          <wp:docPr id="23" name="Imagem 23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464" cy="12682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41DF"/>
    <w:multiLevelType w:val="hybridMultilevel"/>
    <w:tmpl w:val="7FB6F8E2"/>
    <w:lvl w:ilvl="0" w:tplc="521EE054">
      <w:start w:val="12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CC6BAF"/>
    <w:multiLevelType w:val="hybridMultilevel"/>
    <w:tmpl w:val="E2102E32"/>
    <w:lvl w:ilvl="0" w:tplc="D70C9956">
      <w:start w:val="1"/>
      <w:numFmt w:val="decimal"/>
      <w:lvlText w:val="%1)"/>
      <w:lvlJc w:val="left"/>
      <w:pPr>
        <w:ind w:left="1776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9EA734D"/>
    <w:multiLevelType w:val="hybridMultilevel"/>
    <w:tmpl w:val="18745AD6"/>
    <w:lvl w:ilvl="0" w:tplc="3648F29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355AE3"/>
    <w:multiLevelType w:val="hybridMultilevel"/>
    <w:tmpl w:val="130869C0"/>
    <w:lvl w:ilvl="0" w:tplc="BD8AEE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E4B3A3B"/>
    <w:multiLevelType w:val="multilevel"/>
    <w:tmpl w:val="3F74C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347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1A20"/>
    <w:multiLevelType w:val="hybridMultilevel"/>
    <w:tmpl w:val="3C7E2810"/>
    <w:lvl w:ilvl="0" w:tplc="89C8552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5156BD1"/>
    <w:multiLevelType w:val="hybridMultilevel"/>
    <w:tmpl w:val="B058B39C"/>
    <w:lvl w:ilvl="0" w:tplc="A7C6EF72">
      <w:start w:val="14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70C6389"/>
    <w:multiLevelType w:val="hybridMultilevel"/>
    <w:tmpl w:val="D55A810E"/>
    <w:lvl w:ilvl="0" w:tplc="AD3C47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5108427">
    <w:abstractNumId w:val="4"/>
  </w:num>
  <w:num w:numId="2" w16cid:durableId="2035374183">
    <w:abstractNumId w:val="1"/>
  </w:num>
  <w:num w:numId="3" w16cid:durableId="1917519483">
    <w:abstractNumId w:val="3"/>
  </w:num>
  <w:num w:numId="4" w16cid:durableId="1691835858">
    <w:abstractNumId w:val="5"/>
  </w:num>
  <w:num w:numId="5" w16cid:durableId="422338643">
    <w:abstractNumId w:val="0"/>
  </w:num>
  <w:num w:numId="6" w16cid:durableId="111098571">
    <w:abstractNumId w:val="6"/>
  </w:num>
  <w:num w:numId="7" w16cid:durableId="115685762">
    <w:abstractNumId w:val="2"/>
  </w:num>
  <w:num w:numId="8" w16cid:durableId="1545362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19"/>
    <w:rsid w:val="00000892"/>
    <w:rsid w:val="00002864"/>
    <w:rsid w:val="000046A7"/>
    <w:rsid w:val="00004FB5"/>
    <w:rsid w:val="000068A4"/>
    <w:rsid w:val="00007603"/>
    <w:rsid w:val="0000781D"/>
    <w:rsid w:val="0001131B"/>
    <w:rsid w:val="00011564"/>
    <w:rsid w:val="00012005"/>
    <w:rsid w:val="00015624"/>
    <w:rsid w:val="00027FAD"/>
    <w:rsid w:val="000305B7"/>
    <w:rsid w:val="00035139"/>
    <w:rsid w:val="00041B55"/>
    <w:rsid w:val="000441FD"/>
    <w:rsid w:val="00046483"/>
    <w:rsid w:val="00046F86"/>
    <w:rsid w:val="00057791"/>
    <w:rsid w:val="00062A77"/>
    <w:rsid w:val="0006439D"/>
    <w:rsid w:val="00066D6F"/>
    <w:rsid w:val="00071572"/>
    <w:rsid w:val="00072D78"/>
    <w:rsid w:val="00086AB0"/>
    <w:rsid w:val="00093101"/>
    <w:rsid w:val="000A231F"/>
    <w:rsid w:val="000A25B3"/>
    <w:rsid w:val="000A470E"/>
    <w:rsid w:val="000A4C2B"/>
    <w:rsid w:val="000A78FC"/>
    <w:rsid w:val="000B41B7"/>
    <w:rsid w:val="000B6499"/>
    <w:rsid w:val="000B7F8B"/>
    <w:rsid w:val="000C0582"/>
    <w:rsid w:val="000C1963"/>
    <w:rsid w:val="000C2535"/>
    <w:rsid w:val="000C4108"/>
    <w:rsid w:val="000D55BB"/>
    <w:rsid w:val="000D6DB7"/>
    <w:rsid w:val="000D6F3A"/>
    <w:rsid w:val="000E3400"/>
    <w:rsid w:val="000F1C59"/>
    <w:rsid w:val="000F3FB3"/>
    <w:rsid w:val="000F6297"/>
    <w:rsid w:val="0010041C"/>
    <w:rsid w:val="00100F32"/>
    <w:rsid w:val="00105C98"/>
    <w:rsid w:val="00106191"/>
    <w:rsid w:val="00107AE0"/>
    <w:rsid w:val="0011282E"/>
    <w:rsid w:val="0011372B"/>
    <w:rsid w:val="00116DA3"/>
    <w:rsid w:val="00116EF1"/>
    <w:rsid w:val="00117CF7"/>
    <w:rsid w:val="00120B6A"/>
    <w:rsid w:val="00121152"/>
    <w:rsid w:val="00123524"/>
    <w:rsid w:val="00134263"/>
    <w:rsid w:val="00136D85"/>
    <w:rsid w:val="00137292"/>
    <w:rsid w:val="001541BB"/>
    <w:rsid w:val="0015779C"/>
    <w:rsid w:val="00157F58"/>
    <w:rsid w:val="001605B9"/>
    <w:rsid w:val="00163905"/>
    <w:rsid w:val="0016542E"/>
    <w:rsid w:val="001658BB"/>
    <w:rsid w:val="00167E7B"/>
    <w:rsid w:val="00175DA8"/>
    <w:rsid w:val="00193133"/>
    <w:rsid w:val="00193FC0"/>
    <w:rsid w:val="00195960"/>
    <w:rsid w:val="00195B81"/>
    <w:rsid w:val="00195DC7"/>
    <w:rsid w:val="00197F3D"/>
    <w:rsid w:val="001A0202"/>
    <w:rsid w:val="001A127D"/>
    <w:rsid w:val="001B0034"/>
    <w:rsid w:val="001B0D7D"/>
    <w:rsid w:val="001B1867"/>
    <w:rsid w:val="001B4DDD"/>
    <w:rsid w:val="001B667F"/>
    <w:rsid w:val="001B6DC7"/>
    <w:rsid w:val="001C0A3F"/>
    <w:rsid w:val="001C3E68"/>
    <w:rsid w:val="001C3ED1"/>
    <w:rsid w:val="001C4878"/>
    <w:rsid w:val="001C7C32"/>
    <w:rsid w:val="001D47E2"/>
    <w:rsid w:val="001D5A63"/>
    <w:rsid w:val="001E1A74"/>
    <w:rsid w:val="001E6335"/>
    <w:rsid w:val="001E7F33"/>
    <w:rsid w:val="001F66E0"/>
    <w:rsid w:val="00204526"/>
    <w:rsid w:val="002076F8"/>
    <w:rsid w:val="0021013B"/>
    <w:rsid w:val="0021588B"/>
    <w:rsid w:val="00216C4E"/>
    <w:rsid w:val="0022274A"/>
    <w:rsid w:val="00224B26"/>
    <w:rsid w:val="00231124"/>
    <w:rsid w:val="00233CED"/>
    <w:rsid w:val="00235B41"/>
    <w:rsid w:val="00244DA8"/>
    <w:rsid w:val="002526F5"/>
    <w:rsid w:val="00267C3D"/>
    <w:rsid w:val="0027005D"/>
    <w:rsid w:val="00273628"/>
    <w:rsid w:val="00273F48"/>
    <w:rsid w:val="00275023"/>
    <w:rsid w:val="002774D9"/>
    <w:rsid w:val="0028046D"/>
    <w:rsid w:val="00281FDC"/>
    <w:rsid w:val="002842AB"/>
    <w:rsid w:val="00287A41"/>
    <w:rsid w:val="00290179"/>
    <w:rsid w:val="0029099E"/>
    <w:rsid w:val="00292951"/>
    <w:rsid w:val="002A0785"/>
    <w:rsid w:val="002A1B9E"/>
    <w:rsid w:val="002A2B2C"/>
    <w:rsid w:val="002A57CD"/>
    <w:rsid w:val="002A5D5F"/>
    <w:rsid w:val="002A6811"/>
    <w:rsid w:val="002B1591"/>
    <w:rsid w:val="002B28D6"/>
    <w:rsid w:val="002B72FB"/>
    <w:rsid w:val="002C0D30"/>
    <w:rsid w:val="002C3145"/>
    <w:rsid w:val="002D178A"/>
    <w:rsid w:val="002D2920"/>
    <w:rsid w:val="002D4781"/>
    <w:rsid w:val="002D57C3"/>
    <w:rsid w:val="002D5BFA"/>
    <w:rsid w:val="002D623B"/>
    <w:rsid w:val="002E3DEC"/>
    <w:rsid w:val="002E51E2"/>
    <w:rsid w:val="002E53DC"/>
    <w:rsid w:val="002E6A6E"/>
    <w:rsid w:val="002F1444"/>
    <w:rsid w:val="002F191F"/>
    <w:rsid w:val="002F2482"/>
    <w:rsid w:val="002F2C47"/>
    <w:rsid w:val="002F3462"/>
    <w:rsid w:val="003009FF"/>
    <w:rsid w:val="00302290"/>
    <w:rsid w:val="00302340"/>
    <w:rsid w:val="003055A9"/>
    <w:rsid w:val="003071FC"/>
    <w:rsid w:val="00312B2A"/>
    <w:rsid w:val="00320B44"/>
    <w:rsid w:val="00321214"/>
    <w:rsid w:val="00322F22"/>
    <w:rsid w:val="00341B1E"/>
    <w:rsid w:val="00341CE4"/>
    <w:rsid w:val="00343377"/>
    <w:rsid w:val="003454A0"/>
    <w:rsid w:val="00346FD9"/>
    <w:rsid w:val="00351C16"/>
    <w:rsid w:val="00355EE3"/>
    <w:rsid w:val="003564A1"/>
    <w:rsid w:val="0037212A"/>
    <w:rsid w:val="003802DF"/>
    <w:rsid w:val="0038256C"/>
    <w:rsid w:val="00383279"/>
    <w:rsid w:val="00390609"/>
    <w:rsid w:val="003937F5"/>
    <w:rsid w:val="0039658B"/>
    <w:rsid w:val="00396D4F"/>
    <w:rsid w:val="00397695"/>
    <w:rsid w:val="003977F1"/>
    <w:rsid w:val="003A09D6"/>
    <w:rsid w:val="003A291E"/>
    <w:rsid w:val="003A5011"/>
    <w:rsid w:val="003B21DA"/>
    <w:rsid w:val="003B5845"/>
    <w:rsid w:val="003B6445"/>
    <w:rsid w:val="003B65E3"/>
    <w:rsid w:val="003C05BE"/>
    <w:rsid w:val="003C25CF"/>
    <w:rsid w:val="003E09D8"/>
    <w:rsid w:val="003E1066"/>
    <w:rsid w:val="003E15BD"/>
    <w:rsid w:val="003E23B7"/>
    <w:rsid w:val="003E2A33"/>
    <w:rsid w:val="003E622C"/>
    <w:rsid w:val="003F0442"/>
    <w:rsid w:val="003F0F4C"/>
    <w:rsid w:val="003F107C"/>
    <w:rsid w:val="003F2592"/>
    <w:rsid w:val="003F284B"/>
    <w:rsid w:val="003F4568"/>
    <w:rsid w:val="003F56A6"/>
    <w:rsid w:val="003F6C4E"/>
    <w:rsid w:val="00401726"/>
    <w:rsid w:val="0040274E"/>
    <w:rsid w:val="00403C34"/>
    <w:rsid w:val="00404F2C"/>
    <w:rsid w:val="0041199E"/>
    <w:rsid w:val="00412E7B"/>
    <w:rsid w:val="00420E60"/>
    <w:rsid w:val="00427825"/>
    <w:rsid w:val="00434A3C"/>
    <w:rsid w:val="0043628F"/>
    <w:rsid w:val="00437EF8"/>
    <w:rsid w:val="004402C9"/>
    <w:rsid w:val="00443C52"/>
    <w:rsid w:val="0044567A"/>
    <w:rsid w:val="004468F1"/>
    <w:rsid w:val="00447C76"/>
    <w:rsid w:val="00450947"/>
    <w:rsid w:val="00455D8C"/>
    <w:rsid w:val="00457CAC"/>
    <w:rsid w:val="00461B64"/>
    <w:rsid w:val="004635CE"/>
    <w:rsid w:val="00467DF0"/>
    <w:rsid w:val="0047184D"/>
    <w:rsid w:val="00471F17"/>
    <w:rsid w:val="0047574B"/>
    <w:rsid w:val="00476755"/>
    <w:rsid w:val="00476AE5"/>
    <w:rsid w:val="00481E64"/>
    <w:rsid w:val="00483ED0"/>
    <w:rsid w:val="00486AF7"/>
    <w:rsid w:val="0049299E"/>
    <w:rsid w:val="00495651"/>
    <w:rsid w:val="00495A39"/>
    <w:rsid w:val="00497604"/>
    <w:rsid w:val="004A17DE"/>
    <w:rsid w:val="004A25A5"/>
    <w:rsid w:val="004A44D0"/>
    <w:rsid w:val="004A6905"/>
    <w:rsid w:val="004A7295"/>
    <w:rsid w:val="004A78EF"/>
    <w:rsid w:val="004D3E2C"/>
    <w:rsid w:val="004E0171"/>
    <w:rsid w:val="004E052F"/>
    <w:rsid w:val="004E0C07"/>
    <w:rsid w:val="004E3274"/>
    <w:rsid w:val="004E5D32"/>
    <w:rsid w:val="004F0B48"/>
    <w:rsid w:val="004F2791"/>
    <w:rsid w:val="004F40A7"/>
    <w:rsid w:val="004F58CF"/>
    <w:rsid w:val="00500CA3"/>
    <w:rsid w:val="00500F8C"/>
    <w:rsid w:val="005011D8"/>
    <w:rsid w:val="005022CA"/>
    <w:rsid w:val="00503681"/>
    <w:rsid w:val="00505631"/>
    <w:rsid w:val="00506A0B"/>
    <w:rsid w:val="0051074A"/>
    <w:rsid w:val="00511213"/>
    <w:rsid w:val="0051184B"/>
    <w:rsid w:val="005145F9"/>
    <w:rsid w:val="00515169"/>
    <w:rsid w:val="00515585"/>
    <w:rsid w:val="0052349A"/>
    <w:rsid w:val="005242CF"/>
    <w:rsid w:val="005275AF"/>
    <w:rsid w:val="005301C4"/>
    <w:rsid w:val="00532116"/>
    <w:rsid w:val="0054392E"/>
    <w:rsid w:val="00545320"/>
    <w:rsid w:val="0054594E"/>
    <w:rsid w:val="00553AA8"/>
    <w:rsid w:val="005558E4"/>
    <w:rsid w:val="00562300"/>
    <w:rsid w:val="00573626"/>
    <w:rsid w:val="005863EB"/>
    <w:rsid w:val="00587085"/>
    <w:rsid w:val="00592CB7"/>
    <w:rsid w:val="0059302A"/>
    <w:rsid w:val="0059515E"/>
    <w:rsid w:val="005955F3"/>
    <w:rsid w:val="00595D61"/>
    <w:rsid w:val="005A200E"/>
    <w:rsid w:val="005A27B1"/>
    <w:rsid w:val="005A6002"/>
    <w:rsid w:val="005B02E5"/>
    <w:rsid w:val="005B11D1"/>
    <w:rsid w:val="005B2FF9"/>
    <w:rsid w:val="005B752A"/>
    <w:rsid w:val="005C1973"/>
    <w:rsid w:val="005C370D"/>
    <w:rsid w:val="005C3A86"/>
    <w:rsid w:val="005C73B8"/>
    <w:rsid w:val="005D26F3"/>
    <w:rsid w:val="005D3254"/>
    <w:rsid w:val="005D688C"/>
    <w:rsid w:val="005E0EAF"/>
    <w:rsid w:val="005E3F22"/>
    <w:rsid w:val="005E53B3"/>
    <w:rsid w:val="005E6DD3"/>
    <w:rsid w:val="005F1A1D"/>
    <w:rsid w:val="005F3C7D"/>
    <w:rsid w:val="00603FA0"/>
    <w:rsid w:val="00606593"/>
    <w:rsid w:val="006076ED"/>
    <w:rsid w:val="00610BF8"/>
    <w:rsid w:val="006154E0"/>
    <w:rsid w:val="006227FF"/>
    <w:rsid w:val="006263E1"/>
    <w:rsid w:val="00631A00"/>
    <w:rsid w:val="006351C5"/>
    <w:rsid w:val="00637275"/>
    <w:rsid w:val="00641791"/>
    <w:rsid w:val="0064244C"/>
    <w:rsid w:val="00642FA8"/>
    <w:rsid w:val="00643C01"/>
    <w:rsid w:val="0064538A"/>
    <w:rsid w:val="00645935"/>
    <w:rsid w:val="00646BB4"/>
    <w:rsid w:val="0065179F"/>
    <w:rsid w:val="00651B05"/>
    <w:rsid w:val="006546EB"/>
    <w:rsid w:val="00654F71"/>
    <w:rsid w:val="00656EF2"/>
    <w:rsid w:val="00657AFB"/>
    <w:rsid w:val="006628E5"/>
    <w:rsid w:val="00670FD3"/>
    <w:rsid w:val="00672FDD"/>
    <w:rsid w:val="0068127B"/>
    <w:rsid w:val="00682415"/>
    <w:rsid w:val="00686D38"/>
    <w:rsid w:val="00690AB6"/>
    <w:rsid w:val="006928F9"/>
    <w:rsid w:val="00693243"/>
    <w:rsid w:val="006A2E37"/>
    <w:rsid w:val="006A36DB"/>
    <w:rsid w:val="006A460E"/>
    <w:rsid w:val="006B03BB"/>
    <w:rsid w:val="006B1990"/>
    <w:rsid w:val="006C49C5"/>
    <w:rsid w:val="006C5EF3"/>
    <w:rsid w:val="006D0B0A"/>
    <w:rsid w:val="006D77F2"/>
    <w:rsid w:val="006D7BA8"/>
    <w:rsid w:val="006E79A6"/>
    <w:rsid w:val="006F0F9C"/>
    <w:rsid w:val="006F351F"/>
    <w:rsid w:val="006F4AE9"/>
    <w:rsid w:val="006F5223"/>
    <w:rsid w:val="006F56B2"/>
    <w:rsid w:val="00700B7D"/>
    <w:rsid w:val="007040A3"/>
    <w:rsid w:val="007071F7"/>
    <w:rsid w:val="00716DFF"/>
    <w:rsid w:val="00717900"/>
    <w:rsid w:val="007227E6"/>
    <w:rsid w:val="00730F72"/>
    <w:rsid w:val="007342A9"/>
    <w:rsid w:val="00734CE8"/>
    <w:rsid w:val="00745FB8"/>
    <w:rsid w:val="007465EF"/>
    <w:rsid w:val="007479DB"/>
    <w:rsid w:val="0075200E"/>
    <w:rsid w:val="007526D5"/>
    <w:rsid w:val="00754880"/>
    <w:rsid w:val="00756499"/>
    <w:rsid w:val="0077103B"/>
    <w:rsid w:val="00773AD7"/>
    <w:rsid w:val="007741B1"/>
    <w:rsid w:val="007743A5"/>
    <w:rsid w:val="00780A24"/>
    <w:rsid w:val="00781A59"/>
    <w:rsid w:val="00783620"/>
    <w:rsid w:val="007912A4"/>
    <w:rsid w:val="00791989"/>
    <w:rsid w:val="007962E6"/>
    <w:rsid w:val="007A104D"/>
    <w:rsid w:val="007A1FDB"/>
    <w:rsid w:val="007A4814"/>
    <w:rsid w:val="007A54AC"/>
    <w:rsid w:val="007B19EE"/>
    <w:rsid w:val="007B21F8"/>
    <w:rsid w:val="007B5EEA"/>
    <w:rsid w:val="007B6B95"/>
    <w:rsid w:val="007B7820"/>
    <w:rsid w:val="007B7951"/>
    <w:rsid w:val="007C5FE4"/>
    <w:rsid w:val="007C622E"/>
    <w:rsid w:val="007D03D6"/>
    <w:rsid w:val="007D63A1"/>
    <w:rsid w:val="007D7690"/>
    <w:rsid w:val="007E05BD"/>
    <w:rsid w:val="007E1AF1"/>
    <w:rsid w:val="007F6BF2"/>
    <w:rsid w:val="007F6CC4"/>
    <w:rsid w:val="007F6F9F"/>
    <w:rsid w:val="007F7FAD"/>
    <w:rsid w:val="00803476"/>
    <w:rsid w:val="0081397D"/>
    <w:rsid w:val="00816CCB"/>
    <w:rsid w:val="00824FB0"/>
    <w:rsid w:val="008253E5"/>
    <w:rsid w:val="00827320"/>
    <w:rsid w:val="00832CA5"/>
    <w:rsid w:val="00837C76"/>
    <w:rsid w:val="008443D6"/>
    <w:rsid w:val="00844683"/>
    <w:rsid w:val="008503A3"/>
    <w:rsid w:val="008548BD"/>
    <w:rsid w:val="00855BC6"/>
    <w:rsid w:val="00856973"/>
    <w:rsid w:val="008578E8"/>
    <w:rsid w:val="0086073C"/>
    <w:rsid w:val="00863163"/>
    <w:rsid w:val="008661CD"/>
    <w:rsid w:val="00874774"/>
    <w:rsid w:val="00876D19"/>
    <w:rsid w:val="00885703"/>
    <w:rsid w:val="00890773"/>
    <w:rsid w:val="00891482"/>
    <w:rsid w:val="00892269"/>
    <w:rsid w:val="00892D06"/>
    <w:rsid w:val="00894B25"/>
    <w:rsid w:val="0089505F"/>
    <w:rsid w:val="00895918"/>
    <w:rsid w:val="00895CC9"/>
    <w:rsid w:val="00896AFD"/>
    <w:rsid w:val="008A1416"/>
    <w:rsid w:val="008A5B2E"/>
    <w:rsid w:val="008B0D5B"/>
    <w:rsid w:val="008B1FDB"/>
    <w:rsid w:val="008B5493"/>
    <w:rsid w:val="008B7104"/>
    <w:rsid w:val="008B773E"/>
    <w:rsid w:val="008C360B"/>
    <w:rsid w:val="008D360A"/>
    <w:rsid w:val="008D3F02"/>
    <w:rsid w:val="008D5689"/>
    <w:rsid w:val="008D59BD"/>
    <w:rsid w:val="008E1398"/>
    <w:rsid w:val="008E2EAA"/>
    <w:rsid w:val="008E61CA"/>
    <w:rsid w:val="008E722D"/>
    <w:rsid w:val="008F10A9"/>
    <w:rsid w:val="008F2D01"/>
    <w:rsid w:val="008F32B8"/>
    <w:rsid w:val="00903247"/>
    <w:rsid w:val="00904028"/>
    <w:rsid w:val="0090536A"/>
    <w:rsid w:val="00906953"/>
    <w:rsid w:val="0090781A"/>
    <w:rsid w:val="009141D9"/>
    <w:rsid w:val="009150CC"/>
    <w:rsid w:val="009225D7"/>
    <w:rsid w:val="00922EC7"/>
    <w:rsid w:val="00925134"/>
    <w:rsid w:val="00932D99"/>
    <w:rsid w:val="00933A58"/>
    <w:rsid w:val="00936D05"/>
    <w:rsid w:val="00940AA5"/>
    <w:rsid w:val="00940EA9"/>
    <w:rsid w:val="009413AD"/>
    <w:rsid w:val="00944C5F"/>
    <w:rsid w:val="009453E7"/>
    <w:rsid w:val="00945E2B"/>
    <w:rsid w:val="00946611"/>
    <w:rsid w:val="00947AB4"/>
    <w:rsid w:val="00952566"/>
    <w:rsid w:val="00953FA3"/>
    <w:rsid w:val="009546B8"/>
    <w:rsid w:val="00954976"/>
    <w:rsid w:val="009640BF"/>
    <w:rsid w:val="0096495A"/>
    <w:rsid w:val="00971B85"/>
    <w:rsid w:val="009750DD"/>
    <w:rsid w:val="00980055"/>
    <w:rsid w:val="00980B04"/>
    <w:rsid w:val="00980D1B"/>
    <w:rsid w:val="009914D7"/>
    <w:rsid w:val="009926E2"/>
    <w:rsid w:val="009B0936"/>
    <w:rsid w:val="009B095F"/>
    <w:rsid w:val="009B2DBE"/>
    <w:rsid w:val="009B42BC"/>
    <w:rsid w:val="009C0EA0"/>
    <w:rsid w:val="009C1AAD"/>
    <w:rsid w:val="009C7CF8"/>
    <w:rsid w:val="009D2F84"/>
    <w:rsid w:val="009D357B"/>
    <w:rsid w:val="009D3F71"/>
    <w:rsid w:val="009D5931"/>
    <w:rsid w:val="009D7152"/>
    <w:rsid w:val="009E0172"/>
    <w:rsid w:val="009E33EC"/>
    <w:rsid w:val="009E60C6"/>
    <w:rsid w:val="009F1E5D"/>
    <w:rsid w:val="009F2062"/>
    <w:rsid w:val="009F29A4"/>
    <w:rsid w:val="009F7B09"/>
    <w:rsid w:val="00A00435"/>
    <w:rsid w:val="00A14F47"/>
    <w:rsid w:val="00A15987"/>
    <w:rsid w:val="00A174FE"/>
    <w:rsid w:val="00A17E30"/>
    <w:rsid w:val="00A2030A"/>
    <w:rsid w:val="00A2098B"/>
    <w:rsid w:val="00A2213A"/>
    <w:rsid w:val="00A24717"/>
    <w:rsid w:val="00A27695"/>
    <w:rsid w:val="00A3714E"/>
    <w:rsid w:val="00A46A9C"/>
    <w:rsid w:val="00A50DFB"/>
    <w:rsid w:val="00A51051"/>
    <w:rsid w:val="00A55534"/>
    <w:rsid w:val="00A564D2"/>
    <w:rsid w:val="00A57919"/>
    <w:rsid w:val="00A61E5A"/>
    <w:rsid w:val="00A63179"/>
    <w:rsid w:val="00A64858"/>
    <w:rsid w:val="00A67077"/>
    <w:rsid w:val="00A748C6"/>
    <w:rsid w:val="00A769B1"/>
    <w:rsid w:val="00A773EA"/>
    <w:rsid w:val="00AA07A8"/>
    <w:rsid w:val="00AA0BB6"/>
    <w:rsid w:val="00AA1166"/>
    <w:rsid w:val="00AA2D1E"/>
    <w:rsid w:val="00AA5874"/>
    <w:rsid w:val="00AA6E59"/>
    <w:rsid w:val="00AA7B76"/>
    <w:rsid w:val="00AB016F"/>
    <w:rsid w:val="00AB149C"/>
    <w:rsid w:val="00AB1EC7"/>
    <w:rsid w:val="00AB7F80"/>
    <w:rsid w:val="00AC13C3"/>
    <w:rsid w:val="00AC21FC"/>
    <w:rsid w:val="00AC31C9"/>
    <w:rsid w:val="00AC75CE"/>
    <w:rsid w:val="00AD3229"/>
    <w:rsid w:val="00AD63E4"/>
    <w:rsid w:val="00AD72D8"/>
    <w:rsid w:val="00AD7337"/>
    <w:rsid w:val="00AE2DF0"/>
    <w:rsid w:val="00AF2B5B"/>
    <w:rsid w:val="00AF48D4"/>
    <w:rsid w:val="00AF53D0"/>
    <w:rsid w:val="00AF781E"/>
    <w:rsid w:val="00B0679C"/>
    <w:rsid w:val="00B073A7"/>
    <w:rsid w:val="00B119BB"/>
    <w:rsid w:val="00B11B79"/>
    <w:rsid w:val="00B12141"/>
    <w:rsid w:val="00B12B5F"/>
    <w:rsid w:val="00B15602"/>
    <w:rsid w:val="00B17359"/>
    <w:rsid w:val="00B17FB8"/>
    <w:rsid w:val="00B257EE"/>
    <w:rsid w:val="00B269F5"/>
    <w:rsid w:val="00B32D3A"/>
    <w:rsid w:val="00B35964"/>
    <w:rsid w:val="00B37027"/>
    <w:rsid w:val="00B457C0"/>
    <w:rsid w:val="00B47769"/>
    <w:rsid w:val="00B51E13"/>
    <w:rsid w:val="00B52C2B"/>
    <w:rsid w:val="00B54EAA"/>
    <w:rsid w:val="00B61448"/>
    <w:rsid w:val="00B645E2"/>
    <w:rsid w:val="00B6539C"/>
    <w:rsid w:val="00B65A75"/>
    <w:rsid w:val="00B67360"/>
    <w:rsid w:val="00B71035"/>
    <w:rsid w:val="00B7154E"/>
    <w:rsid w:val="00B716EE"/>
    <w:rsid w:val="00B7386B"/>
    <w:rsid w:val="00B75B56"/>
    <w:rsid w:val="00B811BF"/>
    <w:rsid w:val="00B85EA3"/>
    <w:rsid w:val="00B94960"/>
    <w:rsid w:val="00B9543C"/>
    <w:rsid w:val="00B977F6"/>
    <w:rsid w:val="00BA1BD5"/>
    <w:rsid w:val="00BA2AE7"/>
    <w:rsid w:val="00BA3A00"/>
    <w:rsid w:val="00BA4854"/>
    <w:rsid w:val="00BA4DC9"/>
    <w:rsid w:val="00BB28EF"/>
    <w:rsid w:val="00BB533A"/>
    <w:rsid w:val="00BB562B"/>
    <w:rsid w:val="00BB5859"/>
    <w:rsid w:val="00BD1062"/>
    <w:rsid w:val="00BD1519"/>
    <w:rsid w:val="00BD215F"/>
    <w:rsid w:val="00BD24E6"/>
    <w:rsid w:val="00BD6647"/>
    <w:rsid w:val="00BD7A4B"/>
    <w:rsid w:val="00BE089E"/>
    <w:rsid w:val="00BE1812"/>
    <w:rsid w:val="00BE2B43"/>
    <w:rsid w:val="00BE56AA"/>
    <w:rsid w:val="00BE6738"/>
    <w:rsid w:val="00BF0382"/>
    <w:rsid w:val="00BF112B"/>
    <w:rsid w:val="00BF3BDB"/>
    <w:rsid w:val="00BF477A"/>
    <w:rsid w:val="00C02340"/>
    <w:rsid w:val="00C07411"/>
    <w:rsid w:val="00C074C5"/>
    <w:rsid w:val="00C2314E"/>
    <w:rsid w:val="00C23567"/>
    <w:rsid w:val="00C23D63"/>
    <w:rsid w:val="00C253ED"/>
    <w:rsid w:val="00C26A68"/>
    <w:rsid w:val="00C26E8D"/>
    <w:rsid w:val="00C275BC"/>
    <w:rsid w:val="00C31D30"/>
    <w:rsid w:val="00C4623A"/>
    <w:rsid w:val="00C47361"/>
    <w:rsid w:val="00C512DE"/>
    <w:rsid w:val="00C51726"/>
    <w:rsid w:val="00C51D84"/>
    <w:rsid w:val="00C53EB7"/>
    <w:rsid w:val="00C5658D"/>
    <w:rsid w:val="00C56E3E"/>
    <w:rsid w:val="00C62452"/>
    <w:rsid w:val="00C65121"/>
    <w:rsid w:val="00C708D6"/>
    <w:rsid w:val="00C714DA"/>
    <w:rsid w:val="00C72FD7"/>
    <w:rsid w:val="00C73CB0"/>
    <w:rsid w:val="00C87700"/>
    <w:rsid w:val="00C94553"/>
    <w:rsid w:val="00CA4B9B"/>
    <w:rsid w:val="00CA501D"/>
    <w:rsid w:val="00CB33FC"/>
    <w:rsid w:val="00CB4F94"/>
    <w:rsid w:val="00CB512B"/>
    <w:rsid w:val="00CB5B35"/>
    <w:rsid w:val="00CB6E1D"/>
    <w:rsid w:val="00CB7233"/>
    <w:rsid w:val="00CC0218"/>
    <w:rsid w:val="00CC029E"/>
    <w:rsid w:val="00CC3FC3"/>
    <w:rsid w:val="00CD72C3"/>
    <w:rsid w:val="00CD799C"/>
    <w:rsid w:val="00CE4913"/>
    <w:rsid w:val="00CE4FB4"/>
    <w:rsid w:val="00CE7726"/>
    <w:rsid w:val="00CF3306"/>
    <w:rsid w:val="00CF3817"/>
    <w:rsid w:val="00CF482D"/>
    <w:rsid w:val="00D00489"/>
    <w:rsid w:val="00D034E5"/>
    <w:rsid w:val="00D07121"/>
    <w:rsid w:val="00D11B7A"/>
    <w:rsid w:val="00D14870"/>
    <w:rsid w:val="00D1599B"/>
    <w:rsid w:val="00D15A71"/>
    <w:rsid w:val="00D15E0D"/>
    <w:rsid w:val="00D201B8"/>
    <w:rsid w:val="00D201E1"/>
    <w:rsid w:val="00D262BA"/>
    <w:rsid w:val="00D262BD"/>
    <w:rsid w:val="00D27752"/>
    <w:rsid w:val="00D32228"/>
    <w:rsid w:val="00D32FBB"/>
    <w:rsid w:val="00D35452"/>
    <w:rsid w:val="00D41E82"/>
    <w:rsid w:val="00D42F57"/>
    <w:rsid w:val="00D43C1A"/>
    <w:rsid w:val="00D50695"/>
    <w:rsid w:val="00D53E12"/>
    <w:rsid w:val="00D60070"/>
    <w:rsid w:val="00D600D2"/>
    <w:rsid w:val="00D607C6"/>
    <w:rsid w:val="00D62EBB"/>
    <w:rsid w:val="00D6450F"/>
    <w:rsid w:val="00D65179"/>
    <w:rsid w:val="00D6660B"/>
    <w:rsid w:val="00D67ECC"/>
    <w:rsid w:val="00D724B7"/>
    <w:rsid w:val="00D76FAA"/>
    <w:rsid w:val="00D83EB7"/>
    <w:rsid w:val="00D85920"/>
    <w:rsid w:val="00D92702"/>
    <w:rsid w:val="00D94893"/>
    <w:rsid w:val="00D976F3"/>
    <w:rsid w:val="00DB255E"/>
    <w:rsid w:val="00DB5057"/>
    <w:rsid w:val="00DC1314"/>
    <w:rsid w:val="00DC24C1"/>
    <w:rsid w:val="00DC31A5"/>
    <w:rsid w:val="00DC3D84"/>
    <w:rsid w:val="00DC6752"/>
    <w:rsid w:val="00DC6D10"/>
    <w:rsid w:val="00DD3F61"/>
    <w:rsid w:val="00DD4AFD"/>
    <w:rsid w:val="00DE0A6D"/>
    <w:rsid w:val="00DE5FF9"/>
    <w:rsid w:val="00DE7192"/>
    <w:rsid w:val="00E03639"/>
    <w:rsid w:val="00E04E1F"/>
    <w:rsid w:val="00E07B6A"/>
    <w:rsid w:val="00E103F9"/>
    <w:rsid w:val="00E13CA0"/>
    <w:rsid w:val="00E1507C"/>
    <w:rsid w:val="00E23521"/>
    <w:rsid w:val="00E25477"/>
    <w:rsid w:val="00E25AFA"/>
    <w:rsid w:val="00E37843"/>
    <w:rsid w:val="00E415FC"/>
    <w:rsid w:val="00E43D71"/>
    <w:rsid w:val="00E441E9"/>
    <w:rsid w:val="00E501CC"/>
    <w:rsid w:val="00E54786"/>
    <w:rsid w:val="00E55E7C"/>
    <w:rsid w:val="00E56C47"/>
    <w:rsid w:val="00E71264"/>
    <w:rsid w:val="00E716AD"/>
    <w:rsid w:val="00E71E2E"/>
    <w:rsid w:val="00E73BED"/>
    <w:rsid w:val="00E741B3"/>
    <w:rsid w:val="00E84232"/>
    <w:rsid w:val="00E87989"/>
    <w:rsid w:val="00E90DFF"/>
    <w:rsid w:val="00E918FA"/>
    <w:rsid w:val="00E97FDD"/>
    <w:rsid w:val="00EA010C"/>
    <w:rsid w:val="00EA2877"/>
    <w:rsid w:val="00EA28CD"/>
    <w:rsid w:val="00EA69AC"/>
    <w:rsid w:val="00EB2D5F"/>
    <w:rsid w:val="00EB2DDA"/>
    <w:rsid w:val="00EB2EC8"/>
    <w:rsid w:val="00EB32B7"/>
    <w:rsid w:val="00EB62C7"/>
    <w:rsid w:val="00EC1FBF"/>
    <w:rsid w:val="00EC3082"/>
    <w:rsid w:val="00EC5274"/>
    <w:rsid w:val="00EC5795"/>
    <w:rsid w:val="00EC78B3"/>
    <w:rsid w:val="00ED2F99"/>
    <w:rsid w:val="00ED3106"/>
    <w:rsid w:val="00EE2908"/>
    <w:rsid w:val="00EE3362"/>
    <w:rsid w:val="00EE4160"/>
    <w:rsid w:val="00EE469A"/>
    <w:rsid w:val="00EF5A32"/>
    <w:rsid w:val="00EF5FF8"/>
    <w:rsid w:val="00F03A75"/>
    <w:rsid w:val="00F0400B"/>
    <w:rsid w:val="00F063BC"/>
    <w:rsid w:val="00F11CE0"/>
    <w:rsid w:val="00F13EF3"/>
    <w:rsid w:val="00F21CC0"/>
    <w:rsid w:val="00F237F7"/>
    <w:rsid w:val="00F238A3"/>
    <w:rsid w:val="00F260B4"/>
    <w:rsid w:val="00F27FCA"/>
    <w:rsid w:val="00F30173"/>
    <w:rsid w:val="00F344CF"/>
    <w:rsid w:val="00F371AD"/>
    <w:rsid w:val="00F37581"/>
    <w:rsid w:val="00F5440D"/>
    <w:rsid w:val="00F549FF"/>
    <w:rsid w:val="00F65744"/>
    <w:rsid w:val="00F72FB5"/>
    <w:rsid w:val="00F746AA"/>
    <w:rsid w:val="00F74AED"/>
    <w:rsid w:val="00F7783E"/>
    <w:rsid w:val="00F867CB"/>
    <w:rsid w:val="00F952B8"/>
    <w:rsid w:val="00F97689"/>
    <w:rsid w:val="00FA2064"/>
    <w:rsid w:val="00FA23AF"/>
    <w:rsid w:val="00FA5CAA"/>
    <w:rsid w:val="00FA7EE9"/>
    <w:rsid w:val="00FB3DFD"/>
    <w:rsid w:val="00FB4D6D"/>
    <w:rsid w:val="00FB7852"/>
    <w:rsid w:val="00FC367D"/>
    <w:rsid w:val="00FC5712"/>
    <w:rsid w:val="00FD144C"/>
    <w:rsid w:val="00FE495D"/>
    <w:rsid w:val="00FE4DFD"/>
    <w:rsid w:val="00FE6CE9"/>
    <w:rsid w:val="00FF2F04"/>
    <w:rsid w:val="00FF37ED"/>
    <w:rsid w:val="00FF62BB"/>
    <w:rsid w:val="00FF6B2D"/>
    <w:rsid w:val="00FF7298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C99A"/>
  <w15:docId w15:val="{CAFE2C3C-F4C8-434A-91F5-4C91A257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A9"/>
    <w:pPr>
      <w:suppressAutoHyphens/>
      <w:spacing w:before="120" w:after="240"/>
      <w:jc w:val="both"/>
    </w:pPr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6E8D"/>
    <w:pPr>
      <w:widowControl w:val="0"/>
      <w:suppressAutoHyphens w:val="0"/>
      <w:autoSpaceDE w:val="0"/>
      <w:adjustRightInd w:val="0"/>
      <w:spacing w:before="0" w:after="0" w:line="240" w:lineRule="auto"/>
      <w:ind w:left="172"/>
      <w:jc w:val="left"/>
      <w:textAlignment w:val="auto"/>
      <w:outlineLvl w:val="0"/>
    </w:pPr>
    <w:rPr>
      <w:rFonts w:eastAsiaTheme="minorEastAsia" w:cs="Calibri"/>
      <w:b/>
      <w:bCs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lista1">
    <w:name w:val="Sem lista1"/>
    <w:rsid w:val="003055A9"/>
    <w:pPr>
      <w:suppressAutoHyphens/>
    </w:pPr>
  </w:style>
  <w:style w:type="paragraph" w:styleId="Cabealho">
    <w:name w:val="header"/>
    <w:basedOn w:val="Normal"/>
    <w:uiPriority w:val="99"/>
    <w:rsid w:val="003055A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uiPriority w:val="99"/>
    <w:rsid w:val="003055A9"/>
  </w:style>
  <w:style w:type="paragraph" w:styleId="Rodap">
    <w:name w:val="footer"/>
    <w:basedOn w:val="Normal"/>
    <w:uiPriority w:val="99"/>
    <w:rsid w:val="003055A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uiPriority w:val="99"/>
    <w:rsid w:val="003055A9"/>
  </w:style>
  <w:style w:type="character" w:styleId="Hyperlink">
    <w:name w:val="Hyperlink"/>
    <w:basedOn w:val="Fontepargpadro"/>
    <w:rsid w:val="003055A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rsid w:val="003055A9"/>
    <w:rPr>
      <w:color w:val="605E5C"/>
      <w:shd w:val="clear" w:color="auto" w:fill="E1DFDD"/>
    </w:rPr>
  </w:style>
  <w:style w:type="paragraph" w:styleId="Corpodetexto">
    <w:name w:val="Body Text"/>
    <w:basedOn w:val="Normal"/>
    <w:uiPriority w:val="99"/>
    <w:qFormat/>
    <w:rsid w:val="003055A9"/>
    <w:pPr>
      <w:widowControl w:val="0"/>
      <w:autoSpaceDE w:val="0"/>
      <w:spacing w:before="0" w:after="0" w:line="240" w:lineRule="auto"/>
      <w:jc w:val="left"/>
    </w:pPr>
    <w:rPr>
      <w:rFonts w:ascii="Georgia" w:eastAsia="Georgia" w:hAnsi="Georgia" w:cs="Georg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uiPriority w:val="99"/>
    <w:rsid w:val="003055A9"/>
    <w:rPr>
      <w:rFonts w:ascii="Georgia" w:eastAsia="Georgia" w:hAnsi="Georgia" w:cs="Georgia"/>
      <w:sz w:val="24"/>
      <w:szCs w:val="24"/>
      <w:lang w:val="pt-PT"/>
    </w:rPr>
  </w:style>
  <w:style w:type="paragraph" w:styleId="Ttulo">
    <w:name w:val="Title"/>
    <w:basedOn w:val="Normal"/>
    <w:uiPriority w:val="10"/>
    <w:qFormat/>
    <w:rsid w:val="003055A9"/>
    <w:pPr>
      <w:widowControl w:val="0"/>
      <w:autoSpaceDE w:val="0"/>
      <w:spacing w:before="101" w:after="0" w:line="240" w:lineRule="auto"/>
      <w:ind w:left="1418" w:right="695" w:hanging="1731"/>
      <w:jc w:val="left"/>
    </w:pPr>
    <w:rPr>
      <w:rFonts w:ascii="Georgia" w:eastAsia="Georgia" w:hAnsi="Georgia" w:cs="Georgia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uiPriority w:val="10"/>
    <w:rsid w:val="003055A9"/>
    <w:rPr>
      <w:rFonts w:ascii="Georgia" w:eastAsia="Georgia" w:hAnsi="Georgia" w:cs="Georgia"/>
      <w:b/>
      <w:bCs/>
      <w:sz w:val="28"/>
      <w:szCs w:val="28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3055A9"/>
    <w:pPr>
      <w:ind w:left="720"/>
    </w:pPr>
  </w:style>
  <w:style w:type="character" w:styleId="nfase">
    <w:name w:val="Emphasis"/>
    <w:basedOn w:val="Fontepargpadro"/>
    <w:uiPriority w:val="20"/>
    <w:qFormat/>
    <w:rsid w:val="003055A9"/>
    <w:rPr>
      <w:i/>
      <w:iCs/>
    </w:rPr>
  </w:style>
  <w:style w:type="paragraph" w:styleId="NormalWeb">
    <w:name w:val="Normal (Web)"/>
    <w:basedOn w:val="Normal"/>
    <w:rsid w:val="003055A9"/>
    <w:pPr>
      <w:suppressAutoHyphens w:val="0"/>
      <w:spacing w:before="100" w:after="100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title-paginas">
    <w:name w:val="title-paginas"/>
    <w:basedOn w:val="Normal"/>
    <w:rsid w:val="003055A9"/>
    <w:pPr>
      <w:suppressAutoHyphens w:val="0"/>
      <w:spacing w:before="100" w:after="100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subtitle-paginas">
    <w:name w:val="subtitle-paginas"/>
    <w:basedOn w:val="Normal"/>
    <w:rsid w:val="003055A9"/>
    <w:pPr>
      <w:suppressAutoHyphens w:val="0"/>
      <w:spacing w:before="100" w:after="100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055A9"/>
    <w:pPr>
      <w:spacing w:after="0" w:line="240" w:lineRule="auto"/>
      <w:textAlignment w:val="auto"/>
    </w:pPr>
    <w:rPr>
      <w:rFonts w:eastAsia="Arial Unicode MS" w:cs="Arial Unicode MS"/>
      <w:color w:val="000000"/>
      <w:sz w:val="24"/>
      <w:szCs w:val="24"/>
      <w:lang w:val="pt-PT" w:eastAsia="pt-BR"/>
    </w:rPr>
  </w:style>
  <w:style w:type="character" w:customStyle="1" w:styleId="noticiacorpotitulo">
    <w:name w:val="noticia_corpo_titulo"/>
    <w:basedOn w:val="Fontepargpadro"/>
    <w:rsid w:val="003055A9"/>
  </w:style>
  <w:style w:type="character" w:customStyle="1" w:styleId="noticiacorpodata">
    <w:name w:val="noticia_corpo_data"/>
    <w:basedOn w:val="Fontepargpadro"/>
    <w:rsid w:val="003055A9"/>
  </w:style>
  <w:style w:type="character" w:customStyle="1" w:styleId="noticiacorpotexto">
    <w:name w:val="noticia_corpo_texto"/>
    <w:basedOn w:val="Fontepargpadro"/>
    <w:rsid w:val="003055A9"/>
  </w:style>
  <w:style w:type="character" w:styleId="Forte">
    <w:name w:val="Strong"/>
    <w:basedOn w:val="Fontepargpadro"/>
    <w:uiPriority w:val="22"/>
    <w:qFormat/>
    <w:rsid w:val="003055A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26E8D"/>
    <w:rPr>
      <w:rFonts w:eastAsiaTheme="minorEastAsia" w:cs="Calibri"/>
      <w:b/>
      <w:bCs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FF6B2D"/>
    <w:rPr>
      <w:rFonts w:ascii="Times New Roman" w:hAnsi="Times New Roman"/>
      <w:b/>
      <w:bCs/>
      <w:sz w:val="27"/>
      <w:szCs w:val="27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FF6B2D"/>
    <w:pPr>
      <w:suppressAutoHyphens w:val="0"/>
      <w:autoSpaceDN/>
      <w:spacing w:before="0" w:after="0"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B2D"/>
    <w:rPr>
      <w:rFonts w:ascii="Tahoma" w:eastAsia="Calibri" w:hAnsi="Tahoma" w:cs="Tahoma"/>
      <w:sz w:val="16"/>
      <w:szCs w:val="16"/>
      <w:lang w:val="pt-BR" w:eastAsia="pt-BR"/>
    </w:rPr>
  </w:style>
  <w:style w:type="paragraph" w:customStyle="1" w:styleId="m1735766275460049469align-center">
    <w:name w:val="m_1735766275460049469align-center"/>
    <w:basedOn w:val="Normal"/>
    <w:uiPriority w:val="99"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uiPriority w:val="99"/>
    <w:rsid w:val="00FF6B2D"/>
  </w:style>
  <w:style w:type="table" w:styleId="Tabelacomgrade">
    <w:name w:val="Table Grid"/>
    <w:basedOn w:val="Tabelanormal"/>
    <w:uiPriority w:val="99"/>
    <w:rsid w:val="00FF6B2D"/>
    <w:pPr>
      <w:autoSpaceDN/>
      <w:spacing w:after="0" w:line="240" w:lineRule="auto"/>
      <w:textAlignment w:val="auto"/>
    </w:pPr>
    <w:rPr>
      <w:rFonts w:eastAsia="Calibri" w:cs="Calibri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FF6B2D"/>
  </w:style>
  <w:style w:type="character" w:styleId="HiperlinkVisitado">
    <w:name w:val="FollowedHyperlink"/>
    <w:uiPriority w:val="99"/>
    <w:semiHidden/>
    <w:rsid w:val="00FF6B2D"/>
    <w:rPr>
      <w:color w:val="800080"/>
      <w:u w:val="single"/>
    </w:rPr>
  </w:style>
  <w:style w:type="character" w:customStyle="1" w:styleId="highlight">
    <w:name w:val="highlight"/>
    <w:basedOn w:val="Fontepargpadro"/>
    <w:rsid w:val="00FF6B2D"/>
  </w:style>
  <w:style w:type="character" w:customStyle="1" w:styleId="fontstyle01">
    <w:name w:val="fontstyle01"/>
    <w:basedOn w:val="Fontepargpadro"/>
    <w:rsid w:val="00FF6B2D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gmaildefault">
    <w:name w:val="gmail_default"/>
    <w:basedOn w:val="Fontepargpadro"/>
    <w:rsid w:val="00FF6B2D"/>
  </w:style>
  <w:style w:type="paragraph" w:styleId="SemEspaamento">
    <w:name w:val="No Spacing"/>
    <w:uiPriority w:val="1"/>
    <w:qFormat/>
    <w:rsid w:val="00FF6B2D"/>
    <w:pPr>
      <w:autoSpaceDN/>
      <w:spacing w:after="0" w:line="240" w:lineRule="auto"/>
      <w:textAlignment w:val="auto"/>
    </w:pPr>
    <w:rPr>
      <w:rFonts w:eastAsia="Calibri" w:cs="Calibri"/>
      <w:lang w:val="pt-BR"/>
    </w:rPr>
  </w:style>
  <w:style w:type="paragraph" w:customStyle="1" w:styleId="xmsonormal">
    <w:name w:val="x_msonormal"/>
    <w:basedOn w:val="Normal"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B2D"/>
    <w:pPr>
      <w:suppressAutoHyphens w:val="0"/>
      <w:autoSpaceDN/>
      <w:spacing w:before="0" w:after="120" w:line="480" w:lineRule="auto"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B2D"/>
    <w:rPr>
      <w:rFonts w:asciiTheme="minorHAnsi" w:eastAsiaTheme="minorHAnsi" w:hAnsiTheme="minorHAnsi" w:cstheme="minorBidi"/>
      <w:lang w:val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F6B2D"/>
    <w:rPr>
      <w:color w:val="605E5C"/>
      <w:shd w:val="clear" w:color="auto" w:fill="E1DFDD"/>
    </w:rPr>
  </w:style>
  <w:style w:type="character" w:customStyle="1" w:styleId="txt">
    <w:name w:val="txt"/>
    <w:basedOn w:val="Fontepargpadro"/>
    <w:rsid w:val="00FF6B2D"/>
  </w:style>
  <w:style w:type="character" w:customStyle="1" w:styleId="MenoPendente2">
    <w:name w:val="Menção Pendente2"/>
    <w:basedOn w:val="Fontepargpadro"/>
    <w:uiPriority w:val="99"/>
    <w:semiHidden/>
    <w:unhideWhenUsed/>
    <w:rsid w:val="00FF6B2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B2D"/>
    <w:pPr>
      <w:suppressAutoHyphens w:val="0"/>
      <w:autoSpaceDN/>
      <w:spacing w:before="0" w:after="0" w:line="240" w:lineRule="auto"/>
      <w:jc w:val="left"/>
      <w:textAlignment w:val="auto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6B2D"/>
    <w:rPr>
      <w:rFonts w:asciiTheme="minorHAnsi" w:eastAsiaTheme="minorEastAsia" w:hAnsiTheme="minorHAnsi" w:cstheme="minorBidi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F6B2D"/>
    <w:rPr>
      <w:vertAlign w:val="superscript"/>
    </w:rPr>
  </w:style>
  <w:style w:type="character" w:customStyle="1" w:styleId="highlightbrs">
    <w:name w:val="highlightbrs"/>
    <w:basedOn w:val="Fontepargpadro"/>
    <w:rsid w:val="00FF6B2D"/>
  </w:style>
  <w:style w:type="character" w:customStyle="1" w:styleId="MenoPendente3">
    <w:name w:val="Menção Pendente3"/>
    <w:basedOn w:val="Fontepargpadro"/>
    <w:uiPriority w:val="99"/>
    <w:semiHidden/>
    <w:unhideWhenUsed/>
    <w:rsid w:val="00FF6B2D"/>
    <w:rPr>
      <w:color w:val="605E5C"/>
      <w:shd w:val="clear" w:color="auto" w:fill="E1DFDD"/>
    </w:rPr>
  </w:style>
  <w:style w:type="character" w:customStyle="1" w:styleId="footnotemark">
    <w:name w:val="footnote mark"/>
    <w:hidden/>
    <w:rsid w:val="00FF6B2D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FF6B2D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re-title">
    <w:name w:val="share-title"/>
    <w:basedOn w:val="Normal"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share-text">
    <w:name w:val="share-text"/>
    <w:basedOn w:val="Normal"/>
    <w:rsid w:val="00FF6B2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F6B2D"/>
    <w:pPr>
      <w:widowControl w:val="0"/>
      <w:suppressAutoHyphens w:val="0"/>
      <w:autoSpaceDE w:val="0"/>
      <w:adjustRightInd w:val="0"/>
      <w:spacing w:before="0" w:after="0" w:line="240" w:lineRule="auto"/>
      <w:jc w:val="left"/>
      <w:textAlignment w:val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F238A3"/>
  </w:style>
  <w:style w:type="character" w:customStyle="1" w:styleId="MenoPendente4">
    <w:name w:val="Menção Pendente4"/>
    <w:basedOn w:val="Fontepargpadro"/>
    <w:uiPriority w:val="99"/>
    <w:semiHidden/>
    <w:unhideWhenUsed/>
    <w:rsid w:val="00B716EE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4F40A7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pt-BR"/>
    </w:rPr>
  </w:style>
  <w:style w:type="character" w:customStyle="1" w:styleId="ui-provider">
    <w:name w:val="ui-provider"/>
    <w:rsid w:val="003564A1"/>
  </w:style>
  <w:style w:type="paragraph" w:customStyle="1" w:styleId="Normal1">
    <w:name w:val="Normal1"/>
    <w:rsid w:val="0051074A"/>
    <w:pPr>
      <w:autoSpaceDN/>
      <w:textAlignment w:val="auto"/>
    </w:pPr>
    <w:rPr>
      <w:rFonts w:eastAsia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naspead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C13C-7945-44BA-8566-0DCED4F1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2084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Apape Tecnologia</cp:lastModifiedBy>
  <cp:revision>2</cp:revision>
  <cp:lastPrinted>2023-11-17T10:59:00Z</cp:lastPrinted>
  <dcterms:created xsi:type="dcterms:W3CDTF">2025-12-19T14:51:00Z</dcterms:created>
  <dcterms:modified xsi:type="dcterms:W3CDTF">2025-12-19T14:51:00Z</dcterms:modified>
</cp:coreProperties>
</file>